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00355" w14:textId="77777777" w:rsidR="00961452" w:rsidRPr="00DE3C10" w:rsidRDefault="00961452" w:rsidP="00C71A69">
      <w:pPr>
        <w:spacing w:line="480" w:lineRule="auto"/>
        <w:jc w:val="both"/>
        <w:rPr>
          <w:rFonts w:ascii="Times New Roman" w:hAnsi="Times New Roman" w:cs="Times New Roman"/>
          <w:b/>
          <w:color w:val="171717" w:themeColor="background2" w:themeShade="1A"/>
          <w:sz w:val="24"/>
          <w:szCs w:val="24"/>
        </w:rPr>
      </w:pPr>
    </w:p>
    <w:p w14:paraId="393CB92F" w14:textId="77777777" w:rsidR="00961452" w:rsidRPr="00DE3C10" w:rsidRDefault="00961452" w:rsidP="00C71A69">
      <w:pPr>
        <w:spacing w:line="480" w:lineRule="auto"/>
        <w:jc w:val="both"/>
        <w:rPr>
          <w:rFonts w:ascii="Times New Roman" w:hAnsi="Times New Roman" w:cs="Times New Roman"/>
          <w:b/>
          <w:color w:val="171717" w:themeColor="background2" w:themeShade="1A"/>
          <w:sz w:val="24"/>
          <w:szCs w:val="24"/>
        </w:rPr>
      </w:pPr>
    </w:p>
    <w:p w14:paraId="699909BA" w14:textId="77777777" w:rsidR="00622378" w:rsidRPr="00DE3C10" w:rsidRDefault="00622378" w:rsidP="00C71A69">
      <w:pPr>
        <w:spacing w:line="480" w:lineRule="auto"/>
        <w:jc w:val="both"/>
        <w:rPr>
          <w:rFonts w:ascii="Times New Roman" w:hAnsi="Times New Roman" w:cs="Times New Roman"/>
          <w:b/>
          <w:color w:val="171717" w:themeColor="background2" w:themeShade="1A"/>
          <w:sz w:val="24"/>
          <w:szCs w:val="24"/>
        </w:rPr>
      </w:pPr>
    </w:p>
    <w:p w14:paraId="2F17139E" w14:textId="77777777" w:rsidR="00622378" w:rsidRPr="00DE3C10" w:rsidRDefault="00622378" w:rsidP="00C71A69">
      <w:pPr>
        <w:spacing w:line="480" w:lineRule="auto"/>
        <w:jc w:val="both"/>
        <w:rPr>
          <w:rFonts w:ascii="Times New Roman" w:hAnsi="Times New Roman" w:cs="Times New Roman"/>
          <w:b/>
          <w:color w:val="171717" w:themeColor="background2" w:themeShade="1A"/>
          <w:sz w:val="24"/>
          <w:szCs w:val="24"/>
        </w:rPr>
      </w:pPr>
    </w:p>
    <w:p w14:paraId="23584F38" w14:textId="77777777" w:rsidR="00961452" w:rsidRPr="00DE3C10" w:rsidRDefault="00FD5493" w:rsidP="00C71A69">
      <w:pPr>
        <w:spacing w:line="480" w:lineRule="auto"/>
        <w:jc w:val="center"/>
        <w:rPr>
          <w:rFonts w:ascii="Times New Roman" w:hAnsi="Times New Roman" w:cs="Times New Roman"/>
          <w:b/>
          <w:color w:val="171717" w:themeColor="background2" w:themeShade="1A"/>
          <w:sz w:val="24"/>
          <w:szCs w:val="24"/>
        </w:rPr>
      </w:pPr>
      <w:r w:rsidRPr="00DE3C10">
        <w:rPr>
          <w:rFonts w:ascii="Times New Roman" w:hAnsi="Times New Roman" w:cs="Times New Roman"/>
          <w:color w:val="171717" w:themeColor="background2" w:themeShade="1A"/>
          <w:sz w:val="24"/>
          <w:szCs w:val="24"/>
          <w:shd w:val="clear" w:color="auto" w:fill="FFFFFF"/>
        </w:rPr>
        <w:t>Change in the Principles of Interpretation of Contracts</w:t>
      </w:r>
    </w:p>
    <w:p w14:paraId="0DE3E160" w14:textId="77777777" w:rsidR="00961452" w:rsidRPr="00DE3C10" w:rsidRDefault="00FD5493" w:rsidP="00C71A69">
      <w:pPr>
        <w:spacing w:line="480" w:lineRule="auto"/>
        <w:jc w:val="center"/>
        <w:rPr>
          <w:rFonts w:ascii="Times New Roman" w:hAnsi="Times New Roman" w:cs="Times New Roman"/>
          <w:color w:val="171717" w:themeColor="background2" w:themeShade="1A"/>
          <w:sz w:val="24"/>
          <w:szCs w:val="24"/>
        </w:rPr>
      </w:pPr>
      <w:r w:rsidRPr="00DE3C10">
        <w:rPr>
          <w:rFonts w:ascii="Times New Roman" w:hAnsi="Times New Roman" w:cs="Times New Roman"/>
          <w:color w:val="171717" w:themeColor="background2" w:themeShade="1A"/>
          <w:sz w:val="24"/>
          <w:szCs w:val="24"/>
        </w:rPr>
        <w:t>Student’s Name</w:t>
      </w:r>
    </w:p>
    <w:p w14:paraId="7A49E508" w14:textId="77777777" w:rsidR="004D51C0" w:rsidRPr="00DE3C10" w:rsidRDefault="00FD5493" w:rsidP="00C71A69">
      <w:pPr>
        <w:spacing w:line="480" w:lineRule="auto"/>
        <w:jc w:val="center"/>
        <w:rPr>
          <w:rFonts w:ascii="Times New Roman" w:hAnsi="Times New Roman" w:cs="Times New Roman"/>
          <w:color w:val="171717" w:themeColor="background2" w:themeShade="1A"/>
          <w:sz w:val="24"/>
          <w:szCs w:val="24"/>
        </w:rPr>
      </w:pPr>
      <w:r w:rsidRPr="00DE3C10">
        <w:rPr>
          <w:rFonts w:ascii="Times New Roman" w:hAnsi="Times New Roman" w:cs="Times New Roman"/>
          <w:color w:val="171717" w:themeColor="background2" w:themeShade="1A"/>
          <w:sz w:val="24"/>
          <w:szCs w:val="24"/>
        </w:rPr>
        <w:t>Institution</w:t>
      </w:r>
    </w:p>
    <w:p w14:paraId="7FE456D8" w14:textId="77777777" w:rsidR="004D51C0" w:rsidRPr="00DE3C10" w:rsidRDefault="004D51C0" w:rsidP="00C71A69">
      <w:pPr>
        <w:spacing w:line="480" w:lineRule="auto"/>
        <w:jc w:val="center"/>
        <w:rPr>
          <w:rFonts w:ascii="Times New Roman" w:hAnsi="Times New Roman" w:cs="Times New Roman"/>
          <w:color w:val="171717" w:themeColor="background2" w:themeShade="1A"/>
          <w:sz w:val="24"/>
          <w:szCs w:val="24"/>
        </w:rPr>
      </w:pPr>
    </w:p>
    <w:p w14:paraId="75E48EE2" w14:textId="77777777" w:rsidR="00961452" w:rsidRPr="00DE3C10" w:rsidRDefault="00FD5493" w:rsidP="00C71A69">
      <w:pPr>
        <w:tabs>
          <w:tab w:val="left" w:pos="7215"/>
        </w:tabs>
        <w:spacing w:line="480" w:lineRule="auto"/>
        <w:jc w:val="both"/>
        <w:rPr>
          <w:rFonts w:ascii="Times New Roman" w:hAnsi="Times New Roman" w:cs="Times New Roman"/>
          <w:b/>
          <w:color w:val="171717" w:themeColor="background2" w:themeShade="1A"/>
          <w:sz w:val="24"/>
          <w:szCs w:val="24"/>
        </w:rPr>
      </w:pPr>
      <w:r w:rsidRPr="00DE3C10">
        <w:rPr>
          <w:rFonts w:ascii="Times New Roman" w:hAnsi="Times New Roman" w:cs="Times New Roman"/>
          <w:b/>
          <w:color w:val="171717" w:themeColor="background2" w:themeShade="1A"/>
          <w:sz w:val="24"/>
          <w:szCs w:val="24"/>
        </w:rPr>
        <w:tab/>
      </w:r>
    </w:p>
    <w:p w14:paraId="5C4A5C07" w14:textId="77777777" w:rsidR="00961452" w:rsidRPr="00DE3C10" w:rsidRDefault="00961452" w:rsidP="00C71A69">
      <w:pPr>
        <w:spacing w:line="480" w:lineRule="auto"/>
        <w:jc w:val="both"/>
        <w:rPr>
          <w:rFonts w:ascii="Times New Roman" w:hAnsi="Times New Roman" w:cs="Times New Roman"/>
          <w:b/>
          <w:color w:val="171717" w:themeColor="background2" w:themeShade="1A"/>
          <w:sz w:val="24"/>
          <w:szCs w:val="24"/>
        </w:rPr>
      </w:pPr>
    </w:p>
    <w:p w14:paraId="2BB94FFC" w14:textId="77777777" w:rsidR="00961452" w:rsidRPr="00DE3C10" w:rsidRDefault="00961452" w:rsidP="00C71A69">
      <w:pPr>
        <w:spacing w:line="480" w:lineRule="auto"/>
        <w:jc w:val="both"/>
        <w:rPr>
          <w:rFonts w:ascii="Times New Roman" w:hAnsi="Times New Roman" w:cs="Times New Roman"/>
          <w:b/>
          <w:color w:val="171717" w:themeColor="background2" w:themeShade="1A"/>
          <w:sz w:val="24"/>
          <w:szCs w:val="24"/>
        </w:rPr>
      </w:pPr>
    </w:p>
    <w:p w14:paraId="7F3E4F69" w14:textId="77777777" w:rsidR="00961452" w:rsidRPr="00DE3C10" w:rsidRDefault="00961452" w:rsidP="00C71A69">
      <w:pPr>
        <w:spacing w:line="480" w:lineRule="auto"/>
        <w:jc w:val="both"/>
        <w:rPr>
          <w:rFonts w:ascii="Times New Roman" w:hAnsi="Times New Roman" w:cs="Times New Roman"/>
          <w:b/>
          <w:color w:val="171717" w:themeColor="background2" w:themeShade="1A"/>
          <w:sz w:val="24"/>
          <w:szCs w:val="24"/>
        </w:rPr>
      </w:pPr>
    </w:p>
    <w:p w14:paraId="14795952" w14:textId="77777777" w:rsidR="00961452" w:rsidRPr="00DE3C10" w:rsidRDefault="00961452" w:rsidP="00C71A69">
      <w:pPr>
        <w:spacing w:line="480" w:lineRule="auto"/>
        <w:jc w:val="both"/>
        <w:rPr>
          <w:rFonts w:ascii="Times New Roman" w:hAnsi="Times New Roman" w:cs="Times New Roman"/>
          <w:b/>
          <w:color w:val="171717" w:themeColor="background2" w:themeShade="1A"/>
          <w:sz w:val="24"/>
          <w:szCs w:val="24"/>
        </w:rPr>
      </w:pPr>
    </w:p>
    <w:p w14:paraId="0E64611B" w14:textId="77777777" w:rsidR="00961452" w:rsidRPr="00DE3C10" w:rsidRDefault="00961452" w:rsidP="00C71A69">
      <w:pPr>
        <w:spacing w:line="480" w:lineRule="auto"/>
        <w:jc w:val="both"/>
        <w:rPr>
          <w:rFonts w:ascii="Times New Roman" w:hAnsi="Times New Roman" w:cs="Times New Roman"/>
          <w:b/>
          <w:color w:val="171717" w:themeColor="background2" w:themeShade="1A"/>
          <w:sz w:val="24"/>
          <w:szCs w:val="24"/>
        </w:rPr>
      </w:pPr>
    </w:p>
    <w:p w14:paraId="3BEDF2C5" w14:textId="77777777" w:rsidR="00961452" w:rsidRPr="00DE3C10" w:rsidRDefault="00961452" w:rsidP="00C71A69">
      <w:pPr>
        <w:spacing w:line="480" w:lineRule="auto"/>
        <w:jc w:val="both"/>
        <w:rPr>
          <w:rFonts w:ascii="Times New Roman" w:hAnsi="Times New Roman" w:cs="Times New Roman"/>
          <w:b/>
          <w:color w:val="171717" w:themeColor="background2" w:themeShade="1A"/>
          <w:sz w:val="24"/>
          <w:szCs w:val="24"/>
        </w:rPr>
      </w:pPr>
    </w:p>
    <w:p w14:paraId="32873E9E" w14:textId="77777777" w:rsidR="00961452" w:rsidRPr="00DE3C10" w:rsidRDefault="00961452" w:rsidP="00C71A69">
      <w:pPr>
        <w:spacing w:line="480" w:lineRule="auto"/>
        <w:jc w:val="both"/>
        <w:rPr>
          <w:rFonts w:ascii="Times New Roman" w:hAnsi="Times New Roman" w:cs="Times New Roman"/>
          <w:b/>
          <w:color w:val="171717" w:themeColor="background2" w:themeShade="1A"/>
          <w:sz w:val="24"/>
          <w:szCs w:val="24"/>
        </w:rPr>
      </w:pPr>
    </w:p>
    <w:p w14:paraId="0979FF14" w14:textId="77777777" w:rsidR="00961452" w:rsidRPr="00DE3C10" w:rsidRDefault="00961452" w:rsidP="00C71A69">
      <w:pPr>
        <w:spacing w:line="480" w:lineRule="auto"/>
        <w:jc w:val="both"/>
        <w:rPr>
          <w:rFonts w:ascii="Times New Roman" w:hAnsi="Times New Roman" w:cs="Times New Roman"/>
          <w:b/>
          <w:color w:val="171717" w:themeColor="background2" w:themeShade="1A"/>
          <w:sz w:val="24"/>
          <w:szCs w:val="24"/>
        </w:rPr>
      </w:pPr>
    </w:p>
    <w:p w14:paraId="283B6747" w14:textId="77777777" w:rsidR="00961452" w:rsidRPr="00DE3C10" w:rsidRDefault="00961452" w:rsidP="00C71A69">
      <w:pPr>
        <w:spacing w:line="480" w:lineRule="auto"/>
        <w:jc w:val="both"/>
        <w:rPr>
          <w:rFonts w:ascii="Times New Roman" w:hAnsi="Times New Roman" w:cs="Times New Roman"/>
          <w:b/>
          <w:color w:val="171717" w:themeColor="background2" w:themeShade="1A"/>
          <w:sz w:val="24"/>
          <w:szCs w:val="24"/>
        </w:rPr>
      </w:pPr>
    </w:p>
    <w:p w14:paraId="09F5CD70" w14:textId="77777777" w:rsidR="00390F8D" w:rsidRPr="00DE3C10" w:rsidRDefault="00390F8D" w:rsidP="00C71A69">
      <w:pPr>
        <w:spacing w:line="480" w:lineRule="auto"/>
        <w:jc w:val="both"/>
        <w:rPr>
          <w:rFonts w:ascii="Times New Roman" w:hAnsi="Times New Roman" w:cs="Times New Roman"/>
          <w:b/>
          <w:color w:val="171717" w:themeColor="background2" w:themeShade="1A"/>
          <w:sz w:val="24"/>
          <w:szCs w:val="24"/>
        </w:rPr>
        <w:sectPr w:rsidR="00390F8D" w:rsidRPr="00DE3C10">
          <w:footerReference w:type="default" r:id="rId8"/>
          <w:pgSz w:w="12240" w:h="15840"/>
          <w:pgMar w:top="1440" w:right="1440" w:bottom="1440" w:left="1440" w:header="720" w:footer="720" w:gutter="0"/>
          <w:cols w:space="720"/>
          <w:docGrid w:linePitch="360"/>
        </w:sectPr>
      </w:pPr>
    </w:p>
    <w:p w14:paraId="35D6EF78" w14:textId="77777777" w:rsidR="00735162" w:rsidRPr="00DE3C10" w:rsidRDefault="00FD5493" w:rsidP="00C71A69">
      <w:pPr>
        <w:spacing w:line="480" w:lineRule="auto"/>
        <w:jc w:val="both"/>
        <w:rPr>
          <w:rFonts w:ascii="Times New Roman" w:hAnsi="Times New Roman" w:cs="Times New Roman"/>
          <w:b/>
          <w:color w:val="171717" w:themeColor="background2" w:themeShade="1A"/>
          <w:sz w:val="24"/>
          <w:szCs w:val="24"/>
        </w:rPr>
      </w:pPr>
      <w:r w:rsidRPr="00DE3C10">
        <w:rPr>
          <w:rFonts w:ascii="Times New Roman" w:hAnsi="Times New Roman" w:cs="Times New Roman"/>
          <w:b/>
          <w:color w:val="171717" w:themeColor="background2" w:themeShade="1A"/>
          <w:sz w:val="24"/>
          <w:szCs w:val="24"/>
        </w:rPr>
        <w:lastRenderedPageBreak/>
        <w:t>Abstract</w:t>
      </w:r>
    </w:p>
    <w:p w14:paraId="11ADA7C3" w14:textId="5E8B3F4C" w:rsidR="00C966CD" w:rsidRDefault="00FD5493" w:rsidP="00C71A69">
      <w:pPr>
        <w:spacing w:line="480" w:lineRule="auto"/>
        <w:jc w:val="both"/>
        <w:rPr>
          <w:rFonts w:ascii="Times New Roman" w:hAnsi="Times New Roman" w:cs="Times New Roman"/>
          <w:color w:val="171717" w:themeColor="background2" w:themeShade="1A"/>
          <w:sz w:val="24"/>
          <w:szCs w:val="24"/>
        </w:rPr>
      </w:pPr>
      <w:r w:rsidRPr="00DE3C10">
        <w:rPr>
          <w:rFonts w:ascii="Times New Roman" w:hAnsi="Times New Roman" w:cs="Times New Roman"/>
          <w:color w:val="171717" w:themeColor="background2" w:themeShade="1A"/>
          <w:sz w:val="24"/>
          <w:szCs w:val="24"/>
        </w:rPr>
        <w:t>T</w:t>
      </w:r>
      <w:r w:rsidR="00BE7394" w:rsidRPr="00DE3C10">
        <w:rPr>
          <w:rFonts w:ascii="Times New Roman" w:hAnsi="Times New Roman" w:cs="Times New Roman"/>
          <w:color w:val="171717" w:themeColor="background2" w:themeShade="1A"/>
          <w:sz w:val="24"/>
          <w:szCs w:val="24"/>
        </w:rPr>
        <w:t xml:space="preserve">he paper is an in-depth analysis of </w:t>
      </w:r>
      <w:r w:rsidR="00EC1354" w:rsidRPr="00DE3C10">
        <w:rPr>
          <w:rFonts w:ascii="Times New Roman" w:hAnsi="Times New Roman" w:cs="Times New Roman"/>
          <w:color w:val="171717" w:themeColor="background2" w:themeShade="1A"/>
          <w:sz w:val="24"/>
          <w:szCs w:val="24"/>
        </w:rPr>
        <w:t>various chan</w:t>
      </w:r>
      <w:r w:rsidR="00E2187B" w:rsidRPr="00DE3C10">
        <w:rPr>
          <w:rFonts w:ascii="Times New Roman" w:hAnsi="Times New Roman" w:cs="Times New Roman"/>
          <w:color w:val="171717" w:themeColor="background2" w:themeShade="1A"/>
          <w:sz w:val="24"/>
          <w:szCs w:val="24"/>
        </w:rPr>
        <w:t xml:space="preserve">ges that have affected </w:t>
      </w:r>
      <w:r w:rsidR="00A6480F" w:rsidRPr="00DE3C10">
        <w:rPr>
          <w:rFonts w:ascii="Times New Roman" w:hAnsi="Times New Roman" w:cs="Times New Roman"/>
          <w:color w:val="171717" w:themeColor="background2" w:themeShade="1A"/>
          <w:sz w:val="24"/>
          <w:szCs w:val="24"/>
        </w:rPr>
        <w:t>the established</w:t>
      </w:r>
      <w:r w:rsidR="00E2187B" w:rsidRPr="00DE3C10">
        <w:rPr>
          <w:rFonts w:ascii="Times New Roman" w:hAnsi="Times New Roman" w:cs="Times New Roman"/>
          <w:color w:val="171717" w:themeColor="background2" w:themeShade="1A"/>
          <w:sz w:val="24"/>
          <w:szCs w:val="24"/>
        </w:rPr>
        <w:t xml:space="preserve"> principles </w:t>
      </w:r>
      <w:r w:rsidR="00EC1354" w:rsidRPr="00DE3C10">
        <w:rPr>
          <w:rFonts w:ascii="Times New Roman" w:hAnsi="Times New Roman" w:cs="Times New Roman"/>
          <w:color w:val="171717" w:themeColor="background2" w:themeShade="1A"/>
          <w:sz w:val="24"/>
          <w:szCs w:val="24"/>
        </w:rPr>
        <w:t xml:space="preserve">of contract since the time of </w:t>
      </w:r>
      <w:r w:rsidR="00EC1354" w:rsidRPr="00DE3C10">
        <w:rPr>
          <w:rFonts w:ascii="Times New Roman" w:hAnsi="Times New Roman" w:cs="Times New Roman"/>
          <w:i/>
          <w:color w:val="171717" w:themeColor="background2" w:themeShade="1A"/>
          <w:sz w:val="24"/>
          <w:szCs w:val="24"/>
        </w:rPr>
        <w:t>Investors Compensation Scheme v West Bromwich Building Society</w:t>
      </w:r>
      <w:r w:rsidR="00A55EA5">
        <w:rPr>
          <w:rFonts w:ascii="Times New Roman" w:hAnsi="Times New Roman" w:cs="Times New Roman"/>
          <w:i/>
          <w:color w:val="171717" w:themeColor="background2" w:themeShade="1A"/>
          <w:sz w:val="24"/>
          <w:szCs w:val="24"/>
        </w:rPr>
        <w:t>,</w:t>
      </w:r>
      <w:r w:rsidR="000F2CCA" w:rsidRPr="00DE3C10">
        <w:rPr>
          <w:rFonts w:ascii="Times New Roman" w:hAnsi="Times New Roman" w:cs="Times New Roman"/>
          <w:color w:val="171717" w:themeColor="background2" w:themeShade="1A"/>
          <w:sz w:val="24"/>
          <w:szCs w:val="24"/>
        </w:rPr>
        <w:t xml:space="preserve"> through </w:t>
      </w:r>
      <w:r w:rsidR="00A55EA5">
        <w:rPr>
          <w:rFonts w:ascii="Times New Roman" w:hAnsi="Times New Roman" w:cs="Times New Roman"/>
          <w:color w:val="171717" w:themeColor="background2" w:themeShade="1A"/>
          <w:sz w:val="24"/>
          <w:szCs w:val="24"/>
        </w:rPr>
        <w:t>a</w:t>
      </w:r>
      <w:r w:rsidR="00A6480F" w:rsidRPr="00DE3C10">
        <w:rPr>
          <w:rFonts w:ascii="Times New Roman" w:hAnsi="Times New Roman" w:cs="Times New Roman"/>
          <w:color w:val="171717" w:themeColor="background2" w:themeShade="1A"/>
          <w:sz w:val="24"/>
          <w:szCs w:val="24"/>
        </w:rPr>
        <w:t xml:space="preserve"> review of the existing litera</w:t>
      </w:r>
      <w:r w:rsidR="000F2CCA" w:rsidRPr="00DE3C10">
        <w:rPr>
          <w:rFonts w:ascii="Times New Roman" w:hAnsi="Times New Roman" w:cs="Times New Roman"/>
          <w:color w:val="171717" w:themeColor="background2" w:themeShade="1A"/>
          <w:sz w:val="24"/>
          <w:szCs w:val="24"/>
        </w:rPr>
        <w:t>ture.</w:t>
      </w:r>
      <w:r w:rsidR="003B1D20" w:rsidRPr="00DE3C10">
        <w:rPr>
          <w:rFonts w:ascii="Times New Roman" w:hAnsi="Times New Roman" w:cs="Times New Roman"/>
          <w:color w:val="171717" w:themeColor="background2" w:themeShade="1A"/>
          <w:sz w:val="24"/>
          <w:szCs w:val="24"/>
        </w:rPr>
        <w:t xml:space="preserve"> The first change was on the second pr</w:t>
      </w:r>
      <w:r w:rsidR="00A27062" w:rsidRPr="00DE3C10">
        <w:rPr>
          <w:rFonts w:ascii="Times New Roman" w:hAnsi="Times New Roman" w:cs="Times New Roman"/>
          <w:color w:val="171717" w:themeColor="background2" w:themeShade="1A"/>
          <w:sz w:val="24"/>
          <w:szCs w:val="24"/>
        </w:rPr>
        <w:t>inciple of contract</w:t>
      </w:r>
      <w:r w:rsidR="00357C8C" w:rsidRPr="00DE3C10">
        <w:rPr>
          <w:rFonts w:ascii="Times New Roman" w:hAnsi="Times New Roman" w:cs="Times New Roman"/>
          <w:color w:val="171717" w:themeColor="background2" w:themeShade="1A"/>
          <w:sz w:val="24"/>
          <w:szCs w:val="24"/>
        </w:rPr>
        <w:t>,</w:t>
      </w:r>
      <w:r w:rsidR="00A27062" w:rsidRPr="00DE3C10">
        <w:rPr>
          <w:rFonts w:ascii="Times New Roman" w:hAnsi="Times New Roman" w:cs="Times New Roman"/>
          <w:color w:val="171717" w:themeColor="background2" w:themeShade="1A"/>
          <w:sz w:val="24"/>
          <w:szCs w:val="24"/>
        </w:rPr>
        <w:t xml:space="preserve"> which state</w:t>
      </w:r>
      <w:r w:rsidR="005F7F48" w:rsidRPr="00DE3C10">
        <w:rPr>
          <w:rFonts w:ascii="Times New Roman" w:hAnsi="Times New Roman" w:cs="Times New Roman"/>
          <w:color w:val="171717" w:themeColor="background2" w:themeShade="1A"/>
          <w:sz w:val="24"/>
          <w:szCs w:val="24"/>
        </w:rPr>
        <w:t>d</w:t>
      </w:r>
      <w:r w:rsidR="003B1D20" w:rsidRPr="00DE3C10">
        <w:rPr>
          <w:rFonts w:ascii="Times New Roman" w:hAnsi="Times New Roman" w:cs="Times New Roman"/>
          <w:color w:val="171717" w:themeColor="background2" w:themeShade="1A"/>
          <w:sz w:val="24"/>
          <w:szCs w:val="24"/>
        </w:rPr>
        <w:t xml:space="preserve"> that</w:t>
      </w:r>
      <w:r w:rsidR="00A25FE7" w:rsidRPr="00DE3C10">
        <w:rPr>
          <w:rFonts w:ascii="Times New Roman" w:hAnsi="Times New Roman" w:cs="Times New Roman"/>
          <w:color w:val="171717" w:themeColor="background2" w:themeShade="1A"/>
          <w:sz w:val="24"/>
          <w:szCs w:val="24"/>
        </w:rPr>
        <w:t xml:space="preserve"> </w:t>
      </w:r>
      <w:r w:rsidR="00FC1FB6" w:rsidRPr="00DE3C10">
        <w:rPr>
          <w:rFonts w:ascii="Times New Roman" w:hAnsi="Times New Roman" w:cs="Times New Roman"/>
          <w:color w:val="171717" w:themeColor="background2" w:themeShade="1A"/>
          <w:sz w:val="24"/>
          <w:szCs w:val="24"/>
        </w:rPr>
        <w:t xml:space="preserve">in </w:t>
      </w:r>
      <w:r w:rsidR="00A25FE7" w:rsidRPr="00DE3C10">
        <w:rPr>
          <w:rFonts w:ascii="Times New Roman" w:hAnsi="Times New Roman" w:cs="Times New Roman"/>
          <w:color w:val="171717" w:themeColor="background2" w:themeShade="1A"/>
          <w:sz w:val="24"/>
          <w:szCs w:val="24"/>
        </w:rPr>
        <w:t xml:space="preserve">contract cases </w:t>
      </w:r>
      <w:r w:rsidR="008E28CB" w:rsidRPr="00DE3C10">
        <w:rPr>
          <w:rFonts w:ascii="Times New Roman" w:hAnsi="Times New Roman" w:cs="Times New Roman"/>
          <w:color w:val="171717" w:themeColor="background2" w:themeShade="1A"/>
          <w:sz w:val="24"/>
          <w:szCs w:val="24"/>
        </w:rPr>
        <w:t>with</w:t>
      </w:r>
      <w:r w:rsidR="00A25FE7" w:rsidRPr="00DE3C10">
        <w:rPr>
          <w:rFonts w:ascii="Times New Roman" w:hAnsi="Times New Roman" w:cs="Times New Roman"/>
          <w:color w:val="171717" w:themeColor="background2" w:themeShade="1A"/>
          <w:sz w:val="24"/>
          <w:szCs w:val="24"/>
        </w:rPr>
        <w:t xml:space="preserve"> clear </w:t>
      </w:r>
      <w:r w:rsidR="0086688A" w:rsidRPr="00DE3C10">
        <w:rPr>
          <w:rFonts w:ascii="Times New Roman" w:hAnsi="Times New Roman" w:cs="Times New Roman"/>
          <w:color w:val="171717" w:themeColor="background2" w:themeShade="1A"/>
          <w:sz w:val="24"/>
          <w:szCs w:val="24"/>
        </w:rPr>
        <w:t>and unambiguous words</w:t>
      </w:r>
      <w:r w:rsidR="00A25FE7" w:rsidRPr="00DE3C10">
        <w:rPr>
          <w:rFonts w:ascii="Times New Roman" w:hAnsi="Times New Roman" w:cs="Times New Roman"/>
          <w:color w:val="171717" w:themeColor="background2" w:themeShade="1A"/>
          <w:sz w:val="24"/>
          <w:szCs w:val="24"/>
        </w:rPr>
        <w:t>, the face value of the language used in the agreement was the real meaning of the words in the contract.</w:t>
      </w:r>
      <w:r w:rsidR="00615E7F" w:rsidRPr="00DE3C10">
        <w:rPr>
          <w:rFonts w:ascii="Times New Roman" w:hAnsi="Times New Roman" w:cs="Times New Roman"/>
          <w:color w:val="171717" w:themeColor="background2" w:themeShade="1A"/>
          <w:sz w:val="24"/>
          <w:szCs w:val="24"/>
        </w:rPr>
        <w:t xml:space="preserve"> Another </w:t>
      </w:r>
      <w:r w:rsidR="007A150E" w:rsidRPr="00DE3C10">
        <w:rPr>
          <w:rFonts w:ascii="Times New Roman" w:hAnsi="Times New Roman" w:cs="Times New Roman"/>
          <w:color w:val="171717" w:themeColor="background2" w:themeShade="1A"/>
          <w:sz w:val="24"/>
          <w:szCs w:val="24"/>
        </w:rPr>
        <w:t>change</w:t>
      </w:r>
      <w:r w:rsidR="00615E7F" w:rsidRPr="00DE3C10">
        <w:rPr>
          <w:rFonts w:ascii="Times New Roman" w:hAnsi="Times New Roman" w:cs="Times New Roman"/>
          <w:color w:val="171717" w:themeColor="background2" w:themeShade="1A"/>
          <w:sz w:val="24"/>
          <w:szCs w:val="24"/>
        </w:rPr>
        <w:t xml:space="preserve"> was on the </w:t>
      </w:r>
      <w:r w:rsidRPr="00DE3C10">
        <w:rPr>
          <w:rFonts w:ascii="Times New Roman" w:hAnsi="Times New Roman" w:cs="Times New Roman"/>
          <w:color w:val="171717" w:themeColor="background2" w:themeShade="1A"/>
          <w:sz w:val="24"/>
          <w:szCs w:val="24"/>
        </w:rPr>
        <w:t>third principle in which the jury abolished the law that excluded the use of pre-contractual bargains to assist in establishi</w:t>
      </w:r>
      <w:r w:rsidR="001C4DDA" w:rsidRPr="00DE3C10">
        <w:rPr>
          <w:rFonts w:ascii="Times New Roman" w:hAnsi="Times New Roman" w:cs="Times New Roman"/>
          <w:color w:val="171717" w:themeColor="background2" w:themeShade="1A"/>
          <w:sz w:val="24"/>
          <w:szCs w:val="24"/>
        </w:rPr>
        <w:t xml:space="preserve">ng the meaning of a contract during a </w:t>
      </w:r>
      <w:r w:rsidRPr="00DE3C10">
        <w:rPr>
          <w:rFonts w:ascii="Times New Roman" w:hAnsi="Times New Roman" w:cs="Times New Roman"/>
          <w:color w:val="171717" w:themeColor="background2" w:themeShade="1A"/>
          <w:sz w:val="24"/>
          <w:szCs w:val="24"/>
        </w:rPr>
        <w:t>court</w:t>
      </w:r>
      <w:r w:rsidR="001C4DDA" w:rsidRPr="00DE3C10">
        <w:rPr>
          <w:rFonts w:ascii="Times New Roman" w:hAnsi="Times New Roman" w:cs="Times New Roman"/>
          <w:color w:val="171717" w:themeColor="background2" w:themeShade="1A"/>
          <w:sz w:val="24"/>
          <w:szCs w:val="24"/>
        </w:rPr>
        <w:t xml:space="preserve"> hearing</w:t>
      </w:r>
      <w:r w:rsidRPr="00DE3C10">
        <w:rPr>
          <w:rFonts w:ascii="Times New Roman" w:hAnsi="Times New Roman" w:cs="Times New Roman"/>
          <w:color w:val="171717" w:themeColor="background2" w:themeShade="1A"/>
          <w:sz w:val="24"/>
          <w:szCs w:val="24"/>
        </w:rPr>
        <w:t>.</w:t>
      </w:r>
      <w:r w:rsidR="002C4B55" w:rsidRPr="00DE3C10">
        <w:rPr>
          <w:rFonts w:ascii="Times New Roman" w:hAnsi="Times New Roman" w:cs="Times New Roman"/>
          <w:color w:val="171717" w:themeColor="background2" w:themeShade="1A"/>
          <w:sz w:val="24"/>
          <w:szCs w:val="24"/>
        </w:rPr>
        <w:t xml:space="preserve"> The fourth principle of the </w:t>
      </w:r>
      <w:r w:rsidR="004F15EE" w:rsidRPr="00DE3C10">
        <w:rPr>
          <w:rFonts w:ascii="Times New Roman" w:hAnsi="Times New Roman" w:cs="Times New Roman"/>
          <w:color w:val="171717" w:themeColor="background2" w:themeShade="1A"/>
          <w:sz w:val="24"/>
          <w:szCs w:val="24"/>
        </w:rPr>
        <w:t>agreemen</w:t>
      </w:r>
      <w:r w:rsidR="002C4B55" w:rsidRPr="00DE3C10">
        <w:rPr>
          <w:rFonts w:ascii="Times New Roman" w:hAnsi="Times New Roman" w:cs="Times New Roman"/>
          <w:color w:val="171717" w:themeColor="background2" w:themeShade="1A"/>
          <w:sz w:val="24"/>
          <w:szCs w:val="24"/>
        </w:rPr>
        <w:t>t was also changed, and the jury accepted the use of valid evidence that confirmed both parties agreed on</w:t>
      </w:r>
      <w:r w:rsidR="00A55EA5">
        <w:rPr>
          <w:rFonts w:ascii="Times New Roman" w:hAnsi="Times New Roman" w:cs="Times New Roman"/>
          <w:color w:val="171717" w:themeColor="background2" w:themeShade="1A"/>
          <w:sz w:val="24"/>
          <w:szCs w:val="24"/>
        </w:rPr>
        <w:t xml:space="preserve"> a</w:t>
      </w:r>
      <w:r w:rsidR="002C4B55" w:rsidRPr="00DE3C10">
        <w:rPr>
          <w:rFonts w:ascii="Times New Roman" w:hAnsi="Times New Roman" w:cs="Times New Roman"/>
          <w:color w:val="171717" w:themeColor="background2" w:themeShade="1A"/>
          <w:sz w:val="24"/>
          <w:szCs w:val="24"/>
        </w:rPr>
        <w:t xml:space="preserve"> particular meaning to a word that had more than one </w:t>
      </w:r>
      <w:r w:rsidR="004F15EE" w:rsidRPr="00DE3C10">
        <w:rPr>
          <w:rFonts w:ascii="Times New Roman" w:hAnsi="Times New Roman" w:cs="Times New Roman"/>
          <w:color w:val="171717" w:themeColor="background2" w:themeShade="1A"/>
          <w:sz w:val="24"/>
          <w:szCs w:val="24"/>
        </w:rPr>
        <w:t>purpose f</w:t>
      </w:r>
      <w:r w:rsidR="002C4B55" w:rsidRPr="00DE3C10">
        <w:rPr>
          <w:rFonts w:ascii="Times New Roman" w:hAnsi="Times New Roman" w:cs="Times New Roman"/>
          <w:color w:val="171717" w:themeColor="background2" w:themeShade="1A"/>
          <w:sz w:val="24"/>
          <w:szCs w:val="24"/>
        </w:rPr>
        <w:t>o</w:t>
      </w:r>
      <w:r w:rsidR="004F15EE" w:rsidRPr="00DE3C10">
        <w:rPr>
          <w:rFonts w:ascii="Times New Roman" w:hAnsi="Times New Roman" w:cs="Times New Roman"/>
          <w:color w:val="171717" w:themeColor="background2" w:themeShade="1A"/>
          <w:sz w:val="24"/>
          <w:szCs w:val="24"/>
        </w:rPr>
        <w:t>r</w:t>
      </w:r>
      <w:r w:rsidR="002C4B55" w:rsidRPr="00DE3C10">
        <w:rPr>
          <w:rFonts w:ascii="Times New Roman" w:hAnsi="Times New Roman" w:cs="Times New Roman"/>
          <w:color w:val="171717" w:themeColor="background2" w:themeShade="1A"/>
          <w:sz w:val="24"/>
          <w:szCs w:val="24"/>
        </w:rPr>
        <w:t xml:space="preserve"> establishing estoppel and not special meaning.</w:t>
      </w:r>
      <w:r w:rsidR="00B17C12" w:rsidRPr="00DE3C10">
        <w:rPr>
          <w:rFonts w:ascii="Times New Roman" w:hAnsi="Times New Roman" w:cs="Times New Roman"/>
          <w:color w:val="171717" w:themeColor="background2" w:themeShade="1A"/>
          <w:sz w:val="24"/>
          <w:szCs w:val="24"/>
        </w:rPr>
        <w:t xml:space="preserve"> Finally, in the fifth principle, </w:t>
      </w:r>
      <w:r w:rsidR="00D0054F" w:rsidRPr="00DE3C10">
        <w:rPr>
          <w:rFonts w:ascii="Times New Roman" w:hAnsi="Times New Roman" w:cs="Times New Roman"/>
          <w:color w:val="171717" w:themeColor="background2" w:themeShade="1A"/>
          <w:sz w:val="24"/>
          <w:szCs w:val="24"/>
        </w:rPr>
        <w:t xml:space="preserve">Hoffmann included </w:t>
      </w:r>
      <w:r w:rsidR="00B17C12" w:rsidRPr="00DE3C10">
        <w:rPr>
          <w:rFonts w:ascii="Times New Roman" w:hAnsi="Times New Roman" w:cs="Times New Roman"/>
          <w:color w:val="171717" w:themeColor="background2" w:themeShade="1A"/>
          <w:sz w:val="24"/>
          <w:szCs w:val="24"/>
        </w:rPr>
        <w:t>statement</w:t>
      </w:r>
      <w:r w:rsidR="00D0054F" w:rsidRPr="00DE3C10">
        <w:rPr>
          <w:rFonts w:ascii="Times New Roman" w:hAnsi="Times New Roman" w:cs="Times New Roman"/>
          <w:color w:val="171717" w:themeColor="background2" w:themeShade="1A"/>
          <w:sz w:val="24"/>
          <w:szCs w:val="24"/>
        </w:rPr>
        <w:t>s concerning the</w:t>
      </w:r>
      <w:r w:rsidR="00B17C12" w:rsidRPr="00DE3C10">
        <w:rPr>
          <w:rFonts w:ascii="Times New Roman" w:hAnsi="Times New Roman" w:cs="Times New Roman"/>
          <w:color w:val="171717" w:themeColor="background2" w:themeShade="1A"/>
          <w:sz w:val="24"/>
          <w:szCs w:val="24"/>
        </w:rPr>
        <w:t xml:space="preserve"> requirements for the rectification of the contract.</w:t>
      </w:r>
      <w:r w:rsidR="00B96A0D" w:rsidRPr="00DE3C10">
        <w:rPr>
          <w:rFonts w:ascii="Times New Roman" w:hAnsi="Times New Roman" w:cs="Times New Roman"/>
          <w:color w:val="171717" w:themeColor="background2" w:themeShade="1A"/>
          <w:sz w:val="24"/>
          <w:szCs w:val="24"/>
        </w:rPr>
        <w:t xml:space="preserve"> Conclusively, </w:t>
      </w:r>
      <w:r w:rsidR="005F250C" w:rsidRPr="00DE3C10">
        <w:rPr>
          <w:rFonts w:ascii="Times New Roman" w:hAnsi="Times New Roman" w:cs="Times New Roman"/>
          <w:color w:val="171717" w:themeColor="background2" w:themeShade="1A"/>
          <w:sz w:val="24"/>
          <w:szCs w:val="24"/>
        </w:rPr>
        <w:t xml:space="preserve">language has always </w:t>
      </w:r>
      <w:r w:rsidR="002E5345" w:rsidRPr="00DE3C10">
        <w:rPr>
          <w:rFonts w:ascii="Times New Roman" w:hAnsi="Times New Roman" w:cs="Times New Roman"/>
          <w:color w:val="171717" w:themeColor="background2" w:themeShade="1A"/>
          <w:sz w:val="24"/>
          <w:szCs w:val="24"/>
        </w:rPr>
        <w:t>been</w:t>
      </w:r>
      <w:r w:rsidR="005F250C" w:rsidRPr="00DE3C10">
        <w:rPr>
          <w:rFonts w:ascii="Times New Roman" w:hAnsi="Times New Roman" w:cs="Times New Roman"/>
          <w:color w:val="171717" w:themeColor="background2" w:themeShade="1A"/>
          <w:sz w:val="24"/>
          <w:szCs w:val="24"/>
        </w:rPr>
        <w:t xml:space="preserve"> flexible</w:t>
      </w:r>
      <w:r w:rsidR="00EB315D">
        <w:rPr>
          <w:rFonts w:ascii="Times New Roman" w:hAnsi="Times New Roman" w:cs="Times New Roman"/>
          <w:color w:val="171717" w:themeColor="background2" w:themeShade="1A"/>
          <w:sz w:val="24"/>
          <w:szCs w:val="24"/>
        </w:rPr>
        <w:t xml:space="preserve"> in its </w:t>
      </w:r>
      <w:r w:rsidR="005F250C" w:rsidRPr="00DE3C10">
        <w:rPr>
          <w:rFonts w:ascii="Times New Roman" w:hAnsi="Times New Roman" w:cs="Times New Roman"/>
          <w:color w:val="171717" w:themeColor="background2" w:themeShade="1A"/>
          <w:sz w:val="24"/>
          <w:szCs w:val="24"/>
        </w:rPr>
        <w:t>meaning depending on the interpreter and the condition surrounding two contracting parties.</w:t>
      </w:r>
      <w:r w:rsidR="003677AF" w:rsidRPr="00DE3C10">
        <w:rPr>
          <w:rFonts w:ascii="Times New Roman" w:hAnsi="Times New Roman" w:cs="Times New Roman"/>
          <w:color w:val="171717" w:themeColor="background2" w:themeShade="1A"/>
          <w:sz w:val="24"/>
          <w:szCs w:val="24"/>
        </w:rPr>
        <w:t xml:space="preserve"> Furthermore, people are still afraid of losing their contract negotiation due to syntactical errors. Hence, there will always be changes to the principle of contract, but for the moment, we hope that the policies are sufficient. </w:t>
      </w:r>
    </w:p>
    <w:p w14:paraId="0D308689" w14:textId="77777777" w:rsidR="00997F8C" w:rsidRDefault="00997F8C" w:rsidP="00C71A69">
      <w:pPr>
        <w:spacing w:line="480" w:lineRule="auto"/>
        <w:jc w:val="both"/>
        <w:rPr>
          <w:rFonts w:ascii="Times New Roman" w:hAnsi="Times New Roman" w:cs="Times New Roman"/>
          <w:color w:val="171717" w:themeColor="background2" w:themeShade="1A"/>
          <w:sz w:val="24"/>
          <w:szCs w:val="24"/>
        </w:rPr>
      </w:pPr>
    </w:p>
    <w:p w14:paraId="19A5EA12" w14:textId="56B55430" w:rsidR="00997F8C" w:rsidRDefault="00997F8C" w:rsidP="00C71A69">
      <w:pPr>
        <w:spacing w:line="480" w:lineRule="auto"/>
        <w:jc w:val="both"/>
        <w:rPr>
          <w:rFonts w:ascii="Times New Roman" w:hAnsi="Times New Roman" w:cs="Times New Roman"/>
          <w:color w:val="171717" w:themeColor="background2" w:themeShade="1A"/>
          <w:sz w:val="24"/>
          <w:szCs w:val="24"/>
        </w:rPr>
      </w:pPr>
    </w:p>
    <w:p w14:paraId="0D118624" w14:textId="77777777" w:rsidR="00997F8C" w:rsidRDefault="00997F8C" w:rsidP="00C71A69">
      <w:pPr>
        <w:spacing w:line="480" w:lineRule="auto"/>
        <w:jc w:val="both"/>
        <w:rPr>
          <w:rFonts w:ascii="Times New Roman" w:hAnsi="Times New Roman" w:cs="Times New Roman"/>
          <w:color w:val="171717" w:themeColor="background2" w:themeShade="1A"/>
          <w:sz w:val="24"/>
          <w:szCs w:val="24"/>
        </w:rPr>
      </w:pPr>
    </w:p>
    <w:p w14:paraId="7453BF22" w14:textId="77777777" w:rsidR="00997F8C" w:rsidRDefault="00997F8C" w:rsidP="00C71A69">
      <w:pPr>
        <w:spacing w:line="480" w:lineRule="auto"/>
        <w:jc w:val="both"/>
        <w:rPr>
          <w:rFonts w:ascii="Times New Roman" w:hAnsi="Times New Roman" w:cs="Times New Roman"/>
          <w:color w:val="171717" w:themeColor="background2" w:themeShade="1A"/>
          <w:sz w:val="24"/>
          <w:szCs w:val="24"/>
        </w:rPr>
      </w:pPr>
    </w:p>
    <w:p w14:paraId="4BD87410" w14:textId="77777777" w:rsidR="00997F8C" w:rsidRPr="00DE3C10" w:rsidRDefault="00997F8C" w:rsidP="00C71A69">
      <w:pPr>
        <w:spacing w:line="480" w:lineRule="auto"/>
        <w:jc w:val="both"/>
        <w:rPr>
          <w:rFonts w:ascii="Times New Roman" w:hAnsi="Times New Roman" w:cs="Times New Roman"/>
          <w:color w:val="171717" w:themeColor="background2" w:themeShade="1A"/>
          <w:sz w:val="24"/>
          <w:szCs w:val="24"/>
        </w:rPr>
      </w:pPr>
    </w:p>
    <w:p w14:paraId="4E099D29" w14:textId="77777777" w:rsidR="001575FD" w:rsidRPr="00DE3C10" w:rsidRDefault="00FD5493" w:rsidP="00C71A69">
      <w:pPr>
        <w:spacing w:line="480" w:lineRule="auto"/>
        <w:jc w:val="both"/>
        <w:rPr>
          <w:rFonts w:ascii="Times New Roman" w:hAnsi="Times New Roman" w:cs="Times New Roman"/>
          <w:b/>
          <w:color w:val="171717" w:themeColor="background2" w:themeShade="1A"/>
          <w:sz w:val="24"/>
          <w:szCs w:val="24"/>
        </w:rPr>
      </w:pPr>
      <w:r w:rsidRPr="00DE3C10">
        <w:rPr>
          <w:rFonts w:ascii="Times New Roman" w:hAnsi="Times New Roman" w:cs="Times New Roman"/>
          <w:b/>
          <w:color w:val="171717" w:themeColor="background2" w:themeShade="1A"/>
          <w:sz w:val="24"/>
          <w:szCs w:val="24"/>
        </w:rPr>
        <w:lastRenderedPageBreak/>
        <w:t>Introduction</w:t>
      </w:r>
    </w:p>
    <w:p w14:paraId="2092E9B3" w14:textId="433B7A17" w:rsidR="00FA0C80" w:rsidRPr="00DE3C10" w:rsidRDefault="00FD5493" w:rsidP="00C71A69">
      <w:pPr>
        <w:spacing w:line="480" w:lineRule="auto"/>
        <w:jc w:val="both"/>
        <w:rPr>
          <w:rFonts w:ascii="Times New Roman" w:hAnsi="Times New Roman" w:cs="Times New Roman"/>
          <w:color w:val="171717" w:themeColor="background2" w:themeShade="1A"/>
          <w:sz w:val="24"/>
          <w:szCs w:val="24"/>
        </w:rPr>
      </w:pPr>
      <w:r w:rsidRPr="00DE3C10">
        <w:rPr>
          <w:rFonts w:ascii="Times New Roman" w:hAnsi="Times New Roman" w:cs="Times New Roman"/>
          <w:color w:val="171717" w:themeColor="background2" w:themeShade="1A"/>
          <w:sz w:val="24"/>
          <w:szCs w:val="24"/>
        </w:rPr>
        <w:t>The</w:t>
      </w:r>
      <w:r w:rsidR="00AE3554" w:rsidRPr="00DE3C10">
        <w:rPr>
          <w:rFonts w:ascii="Times New Roman" w:hAnsi="Times New Roman" w:cs="Times New Roman"/>
          <w:color w:val="171717" w:themeColor="background2" w:themeShade="1A"/>
          <w:sz w:val="24"/>
          <w:szCs w:val="24"/>
        </w:rPr>
        <w:t>re</w:t>
      </w:r>
      <w:r w:rsidRPr="00DE3C10">
        <w:rPr>
          <w:rFonts w:ascii="Times New Roman" w:hAnsi="Times New Roman" w:cs="Times New Roman"/>
          <w:color w:val="171717" w:themeColor="background2" w:themeShade="1A"/>
          <w:sz w:val="24"/>
          <w:szCs w:val="24"/>
        </w:rPr>
        <w:t xml:space="preserve"> have been several advancements </w:t>
      </w:r>
      <w:r w:rsidR="00357C8C" w:rsidRPr="00DE3C10">
        <w:rPr>
          <w:rFonts w:ascii="Times New Roman" w:hAnsi="Times New Roman" w:cs="Times New Roman"/>
          <w:color w:val="171717" w:themeColor="background2" w:themeShade="1A"/>
          <w:sz w:val="24"/>
          <w:szCs w:val="24"/>
        </w:rPr>
        <w:t>i</w:t>
      </w:r>
      <w:r w:rsidRPr="00DE3C10">
        <w:rPr>
          <w:rFonts w:ascii="Times New Roman" w:hAnsi="Times New Roman" w:cs="Times New Roman"/>
          <w:color w:val="171717" w:themeColor="background2" w:themeShade="1A"/>
          <w:sz w:val="24"/>
          <w:szCs w:val="24"/>
        </w:rPr>
        <w:t xml:space="preserve">n how courts interpret investment contracts in case of a dispute </w:t>
      </w:r>
      <w:r w:rsidR="00003923" w:rsidRPr="00DE3C10">
        <w:rPr>
          <w:rFonts w:ascii="Times New Roman" w:hAnsi="Times New Roman" w:cs="Times New Roman"/>
          <w:color w:val="171717" w:themeColor="background2" w:themeShade="1A"/>
          <w:sz w:val="24"/>
          <w:szCs w:val="24"/>
        </w:rPr>
        <w:t>among participating</w:t>
      </w:r>
      <w:r w:rsidRPr="00DE3C10">
        <w:rPr>
          <w:rFonts w:ascii="Times New Roman" w:hAnsi="Times New Roman" w:cs="Times New Roman"/>
          <w:color w:val="171717" w:themeColor="background2" w:themeShade="1A"/>
          <w:sz w:val="24"/>
          <w:szCs w:val="24"/>
        </w:rPr>
        <w:t xml:space="preserve"> parties.</w:t>
      </w:r>
      <w:r w:rsidR="00B34308" w:rsidRPr="00DE3C10">
        <w:rPr>
          <w:rFonts w:ascii="Times New Roman" w:hAnsi="Times New Roman" w:cs="Times New Roman"/>
          <w:color w:val="171717" w:themeColor="background2" w:themeShade="1A"/>
          <w:sz w:val="24"/>
          <w:szCs w:val="24"/>
        </w:rPr>
        <w:t xml:space="preserve"> </w:t>
      </w:r>
      <w:r w:rsidR="00702898" w:rsidRPr="00DE3C10">
        <w:rPr>
          <w:rFonts w:ascii="Times New Roman" w:hAnsi="Times New Roman" w:cs="Times New Roman"/>
          <w:color w:val="171717" w:themeColor="background2" w:themeShade="1A"/>
          <w:sz w:val="24"/>
          <w:szCs w:val="24"/>
        </w:rPr>
        <w:t xml:space="preserve">For instance, the </w:t>
      </w:r>
      <w:r w:rsidR="00827EB5" w:rsidRPr="00DE3C10">
        <w:rPr>
          <w:rFonts w:ascii="Times New Roman" w:hAnsi="Times New Roman" w:cs="Times New Roman"/>
          <w:color w:val="171717" w:themeColor="background2" w:themeShade="1A"/>
          <w:sz w:val="24"/>
          <w:szCs w:val="24"/>
        </w:rPr>
        <w:t>House of Lords</w:t>
      </w:r>
      <w:r w:rsidR="00702898" w:rsidRPr="00DE3C10">
        <w:rPr>
          <w:rFonts w:ascii="Times New Roman" w:hAnsi="Times New Roman" w:cs="Times New Roman"/>
          <w:color w:val="171717" w:themeColor="background2" w:themeShade="1A"/>
          <w:sz w:val="24"/>
          <w:szCs w:val="24"/>
        </w:rPr>
        <w:t xml:space="preserve"> credited Lord H</w:t>
      </w:r>
      <w:r w:rsidR="00B34308" w:rsidRPr="00DE3C10">
        <w:rPr>
          <w:rFonts w:ascii="Times New Roman" w:hAnsi="Times New Roman" w:cs="Times New Roman"/>
          <w:color w:val="171717" w:themeColor="background2" w:themeShade="1A"/>
          <w:sz w:val="24"/>
          <w:szCs w:val="24"/>
        </w:rPr>
        <w:t xml:space="preserve">offman </w:t>
      </w:r>
      <w:r w:rsidR="00702898" w:rsidRPr="00DE3C10">
        <w:rPr>
          <w:rFonts w:ascii="Times New Roman" w:hAnsi="Times New Roman" w:cs="Times New Roman"/>
          <w:color w:val="171717" w:themeColor="background2" w:themeShade="1A"/>
          <w:sz w:val="24"/>
          <w:szCs w:val="24"/>
        </w:rPr>
        <w:t>for giving</w:t>
      </w:r>
      <w:r w:rsidR="00B34308" w:rsidRPr="00DE3C10">
        <w:rPr>
          <w:rFonts w:ascii="Times New Roman" w:hAnsi="Times New Roman" w:cs="Times New Roman"/>
          <w:color w:val="171717" w:themeColor="background2" w:themeShade="1A"/>
          <w:sz w:val="24"/>
          <w:szCs w:val="24"/>
        </w:rPr>
        <w:t xml:space="preserve"> </w:t>
      </w:r>
      <w:r w:rsidR="00791247" w:rsidRPr="00DE3C10">
        <w:rPr>
          <w:rFonts w:ascii="Times New Roman" w:hAnsi="Times New Roman" w:cs="Times New Roman"/>
          <w:color w:val="171717" w:themeColor="background2" w:themeShade="1A"/>
          <w:sz w:val="24"/>
          <w:szCs w:val="24"/>
        </w:rPr>
        <w:t>several verdict</w:t>
      </w:r>
      <w:r w:rsidR="00357C8C" w:rsidRPr="00DE3C10">
        <w:rPr>
          <w:rFonts w:ascii="Times New Roman" w:hAnsi="Times New Roman" w:cs="Times New Roman"/>
          <w:color w:val="171717" w:themeColor="background2" w:themeShade="1A"/>
          <w:sz w:val="24"/>
          <w:szCs w:val="24"/>
        </w:rPr>
        <w:t>s</w:t>
      </w:r>
      <w:r w:rsidR="00791247" w:rsidRPr="00DE3C10">
        <w:rPr>
          <w:rFonts w:ascii="Times New Roman" w:hAnsi="Times New Roman" w:cs="Times New Roman"/>
          <w:color w:val="171717" w:themeColor="background2" w:themeShade="1A"/>
          <w:sz w:val="24"/>
          <w:szCs w:val="24"/>
        </w:rPr>
        <w:t xml:space="preserve"> and speeches on </w:t>
      </w:r>
      <w:r w:rsidR="00791247" w:rsidRPr="00DE3C10">
        <w:rPr>
          <w:rFonts w:ascii="Times New Roman" w:hAnsi="Times New Roman" w:cs="Times New Roman"/>
          <w:i/>
          <w:color w:val="171717" w:themeColor="background2" w:themeShade="1A"/>
          <w:sz w:val="24"/>
          <w:szCs w:val="24"/>
        </w:rPr>
        <w:t>Investors Compensation Scheme v West Bromwich Building Society</w:t>
      </w:r>
      <w:r w:rsidR="007B0653">
        <w:rPr>
          <w:rFonts w:ascii="Times New Roman" w:hAnsi="Times New Roman" w:cs="Times New Roman"/>
          <w:color w:val="171717" w:themeColor="background2" w:themeShade="1A"/>
          <w:sz w:val="24"/>
          <w:szCs w:val="24"/>
        </w:rPr>
        <w:t>.</w:t>
      </w:r>
      <w:r w:rsidR="00091A73">
        <w:rPr>
          <w:rStyle w:val="af1"/>
          <w:rFonts w:ascii="Times New Roman" w:hAnsi="Times New Roman" w:cs="Times New Roman"/>
          <w:color w:val="171717" w:themeColor="background2" w:themeShade="1A"/>
          <w:sz w:val="24"/>
          <w:szCs w:val="24"/>
        </w:rPr>
        <w:footnoteReference w:id="1"/>
      </w:r>
      <w:r w:rsidR="00AC5BF1" w:rsidRPr="00DE3C10">
        <w:rPr>
          <w:rFonts w:ascii="Times New Roman" w:hAnsi="Times New Roman" w:cs="Times New Roman"/>
          <w:color w:val="171717" w:themeColor="background2" w:themeShade="1A"/>
          <w:sz w:val="24"/>
          <w:szCs w:val="24"/>
        </w:rPr>
        <w:t xml:space="preserve"> The decisions that Hoffmann issued on </w:t>
      </w:r>
      <w:r w:rsidR="00A55EA5">
        <w:rPr>
          <w:rFonts w:ascii="Times New Roman" w:hAnsi="Times New Roman" w:cs="Times New Roman"/>
          <w:color w:val="171717" w:themeColor="background2" w:themeShade="1A"/>
          <w:sz w:val="24"/>
          <w:szCs w:val="24"/>
        </w:rPr>
        <w:t xml:space="preserve">the above case </w:t>
      </w:r>
      <w:r w:rsidR="00DA0598" w:rsidRPr="00DE3C10">
        <w:rPr>
          <w:rFonts w:ascii="Times New Roman" w:hAnsi="Times New Roman" w:cs="Times New Roman"/>
          <w:color w:val="171717" w:themeColor="background2" w:themeShade="1A"/>
          <w:sz w:val="24"/>
          <w:szCs w:val="24"/>
        </w:rPr>
        <w:t xml:space="preserve">formed the foundation for </w:t>
      </w:r>
      <w:r w:rsidR="00AC5BF1" w:rsidRPr="00DE3C10">
        <w:rPr>
          <w:rFonts w:ascii="Times New Roman" w:hAnsi="Times New Roman" w:cs="Times New Roman"/>
          <w:color w:val="171717" w:themeColor="background2" w:themeShade="1A"/>
          <w:sz w:val="24"/>
          <w:szCs w:val="24"/>
        </w:rPr>
        <w:t>all cases concerning contacts between</w:t>
      </w:r>
      <w:r w:rsidR="00B5577F">
        <w:rPr>
          <w:rFonts w:ascii="Times New Roman" w:hAnsi="Times New Roman" w:cs="Times New Roman"/>
          <w:color w:val="171717" w:themeColor="background2" w:themeShade="1A"/>
          <w:sz w:val="24"/>
          <w:szCs w:val="24"/>
        </w:rPr>
        <w:t xml:space="preserve"> </w:t>
      </w:r>
      <w:r w:rsidRPr="00DE3C10">
        <w:rPr>
          <w:rFonts w:ascii="Times New Roman" w:hAnsi="Times New Roman" w:cs="Times New Roman"/>
          <w:color w:val="171717" w:themeColor="background2" w:themeShade="1A"/>
          <w:sz w:val="24"/>
          <w:szCs w:val="24"/>
        </w:rPr>
        <w:t>parties.</w:t>
      </w:r>
      <w:r w:rsidR="00AF3421" w:rsidRPr="00DE3C10">
        <w:rPr>
          <w:rFonts w:ascii="Times New Roman" w:hAnsi="Times New Roman" w:cs="Times New Roman"/>
          <w:color w:val="171717" w:themeColor="background2" w:themeShade="1A"/>
          <w:sz w:val="24"/>
          <w:szCs w:val="24"/>
        </w:rPr>
        <w:t xml:space="preserve"> In his speech, he defended the principle</w:t>
      </w:r>
      <w:r w:rsidR="00C94025" w:rsidRPr="00DE3C10">
        <w:rPr>
          <w:rFonts w:ascii="Times New Roman" w:hAnsi="Times New Roman" w:cs="Times New Roman"/>
          <w:color w:val="171717" w:themeColor="background2" w:themeShade="1A"/>
          <w:sz w:val="24"/>
          <w:szCs w:val="24"/>
        </w:rPr>
        <w:t>s</w:t>
      </w:r>
      <w:r w:rsidR="00AF3421" w:rsidRPr="00DE3C10">
        <w:rPr>
          <w:rFonts w:ascii="Times New Roman" w:hAnsi="Times New Roman" w:cs="Times New Roman"/>
          <w:color w:val="171717" w:themeColor="background2" w:themeShade="1A"/>
          <w:sz w:val="24"/>
          <w:szCs w:val="24"/>
        </w:rPr>
        <w:t xml:space="preserve"> from being</w:t>
      </w:r>
      <w:r w:rsidR="00504271" w:rsidRPr="00DE3C10">
        <w:rPr>
          <w:rFonts w:ascii="Times New Roman" w:hAnsi="Times New Roman" w:cs="Times New Roman"/>
          <w:color w:val="171717" w:themeColor="background2" w:themeShade="1A"/>
          <w:sz w:val="24"/>
          <w:szCs w:val="24"/>
        </w:rPr>
        <w:t xml:space="preserve"> viewed as</w:t>
      </w:r>
      <w:r w:rsidR="00AF3421" w:rsidRPr="00DE3C10">
        <w:rPr>
          <w:rFonts w:ascii="Times New Roman" w:hAnsi="Times New Roman" w:cs="Times New Roman"/>
          <w:color w:val="171717" w:themeColor="background2" w:themeShade="1A"/>
          <w:sz w:val="24"/>
          <w:szCs w:val="24"/>
        </w:rPr>
        <w:t xml:space="preserve"> revolutionary </w:t>
      </w:r>
      <w:r w:rsidR="00C94025" w:rsidRPr="00DE3C10">
        <w:rPr>
          <w:rFonts w:ascii="Times New Roman" w:hAnsi="Times New Roman" w:cs="Times New Roman"/>
          <w:color w:val="171717" w:themeColor="background2" w:themeShade="1A"/>
          <w:sz w:val="24"/>
          <w:szCs w:val="24"/>
        </w:rPr>
        <w:t>statement</w:t>
      </w:r>
      <w:r w:rsidR="00504271" w:rsidRPr="00DE3C10">
        <w:rPr>
          <w:rFonts w:ascii="Times New Roman" w:hAnsi="Times New Roman" w:cs="Times New Roman"/>
          <w:color w:val="171717" w:themeColor="background2" w:themeShade="1A"/>
          <w:sz w:val="24"/>
          <w:szCs w:val="24"/>
        </w:rPr>
        <w:t>s</w:t>
      </w:r>
      <w:r w:rsidR="00C94025" w:rsidRPr="00DE3C10">
        <w:rPr>
          <w:rFonts w:ascii="Times New Roman" w:hAnsi="Times New Roman" w:cs="Times New Roman"/>
          <w:color w:val="171717" w:themeColor="background2" w:themeShade="1A"/>
          <w:sz w:val="24"/>
          <w:szCs w:val="24"/>
        </w:rPr>
        <w:t xml:space="preserve">. Instead, he said that they </w:t>
      </w:r>
      <w:r w:rsidR="00AF3421" w:rsidRPr="00DE3C10">
        <w:rPr>
          <w:rFonts w:ascii="Times New Roman" w:hAnsi="Times New Roman" w:cs="Times New Roman"/>
          <w:color w:val="171717" w:themeColor="background2" w:themeShade="1A"/>
          <w:sz w:val="24"/>
          <w:szCs w:val="24"/>
        </w:rPr>
        <w:t>act</w:t>
      </w:r>
      <w:r w:rsidR="00533EC6" w:rsidRPr="00DE3C10">
        <w:rPr>
          <w:rFonts w:ascii="Times New Roman" w:hAnsi="Times New Roman" w:cs="Times New Roman"/>
          <w:color w:val="171717" w:themeColor="background2" w:themeShade="1A"/>
          <w:sz w:val="24"/>
          <w:szCs w:val="24"/>
        </w:rPr>
        <w:t xml:space="preserve"> as guiding principle</w:t>
      </w:r>
      <w:r w:rsidR="009C3870" w:rsidRPr="00DE3C10">
        <w:rPr>
          <w:rFonts w:ascii="Times New Roman" w:hAnsi="Times New Roman" w:cs="Times New Roman"/>
          <w:color w:val="171717" w:themeColor="background2" w:themeShade="1A"/>
          <w:sz w:val="24"/>
          <w:szCs w:val="24"/>
        </w:rPr>
        <w:t>s</w:t>
      </w:r>
      <w:r w:rsidR="00533EC6" w:rsidRPr="00DE3C10">
        <w:rPr>
          <w:rFonts w:ascii="Times New Roman" w:hAnsi="Times New Roman" w:cs="Times New Roman"/>
          <w:color w:val="171717" w:themeColor="background2" w:themeShade="1A"/>
          <w:sz w:val="24"/>
          <w:szCs w:val="24"/>
        </w:rPr>
        <w:t xml:space="preserve"> similar to </w:t>
      </w:r>
      <w:r w:rsidR="00DB1B68" w:rsidRPr="00DE3C10">
        <w:rPr>
          <w:rFonts w:ascii="Times New Roman" w:hAnsi="Times New Roman" w:cs="Times New Roman"/>
          <w:color w:val="171717" w:themeColor="background2" w:themeShade="1A"/>
          <w:sz w:val="24"/>
          <w:szCs w:val="24"/>
        </w:rPr>
        <w:t>that</w:t>
      </w:r>
      <w:r w:rsidR="00AF3421" w:rsidRPr="00DE3C10">
        <w:rPr>
          <w:rFonts w:ascii="Times New Roman" w:hAnsi="Times New Roman" w:cs="Times New Roman"/>
          <w:color w:val="171717" w:themeColor="background2" w:themeShade="1A"/>
          <w:sz w:val="24"/>
          <w:szCs w:val="24"/>
        </w:rPr>
        <w:t xml:space="preserve"> made during </w:t>
      </w:r>
      <w:proofErr w:type="spellStart"/>
      <w:r w:rsidR="00AF3421" w:rsidRPr="00DE3C10">
        <w:rPr>
          <w:rFonts w:ascii="Times New Roman" w:hAnsi="Times New Roman" w:cs="Times New Roman"/>
          <w:i/>
          <w:color w:val="171717" w:themeColor="background2" w:themeShade="1A"/>
          <w:sz w:val="24"/>
          <w:szCs w:val="24"/>
        </w:rPr>
        <w:t>Prenn</w:t>
      </w:r>
      <w:proofErr w:type="spellEnd"/>
      <w:r w:rsidR="00AF3421" w:rsidRPr="00DE3C10">
        <w:rPr>
          <w:rFonts w:ascii="Times New Roman" w:hAnsi="Times New Roman" w:cs="Times New Roman"/>
          <w:i/>
          <w:color w:val="171717" w:themeColor="background2" w:themeShade="1A"/>
          <w:sz w:val="24"/>
          <w:szCs w:val="24"/>
        </w:rPr>
        <w:t xml:space="preserve"> v Simmonds</w:t>
      </w:r>
      <w:r w:rsidR="00AF3421" w:rsidRPr="00DE3C10">
        <w:rPr>
          <w:rFonts w:ascii="Times New Roman" w:hAnsi="Times New Roman" w:cs="Times New Roman"/>
          <w:color w:val="171717" w:themeColor="background2" w:themeShade="1A"/>
          <w:sz w:val="24"/>
          <w:szCs w:val="24"/>
        </w:rPr>
        <w:t>.</w:t>
      </w:r>
      <w:r w:rsidR="00091A73">
        <w:rPr>
          <w:rStyle w:val="af1"/>
          <w:rFonts w:ascii="Times New Roman" w:hAnsi="Times New Roman" w:cs="Times New Roman"/>
          <w:color w:val="171717" w:themeColor="background2" w:themeShade="1A"/>
          <w:sz w:val="24"/>
          <w:szCs w:val="24"/>
        </w:rPr>
        <w:footnoteReference w:id="2"/>
      </w:r>
    </w:p>
    <w:p w14:paraId="3F1C2B34" w14:textId="45E0FEB1" w:rsidR="00A67BED" w:rsidRPr="00DE3C10" w:rsidRDefault="00FD5493" w:rsidP="00C71A69">
      <w:pPr>
        <w:spacing w:line="480" w:lineRule="auto"/>
        <w:jc w:val="both"/>
        <w:rPr>
          <w:rFonts w:ascii="Times New Roman" w:hAnsi="Times New Roman" w:cs="Times New Roman"/>
          <w:color w:val="171717" w:themeColor="background2" w:themeShade="1A"/>
          <w:sz w:val="24"/>
          <w:szCs w:val="24"/>
        </w:rPr>
      </w:pPr>
      <w:r w:rsidRPr="00DE3C10">
        <w:rPr>
          <w:rFonts w:ascii="Times New Roman" w:hAnsi="Times New Roman" w:cs="Times New Roman"/>
          <w:color w:val="171717" w:themeColor="background2" w:themeShade="1A"/>
          <w:sz w:val="24"/>
          <w:szCs w:val="24"/>
        </w:rPr>
        <w:t>Hoffman stated in his speech that the</w:t>
      </w:r>
      <w:r w:rsidR="0074504E" w:rsidRPr="00DE3C10">
        <w:rPr>
          <w:rFonts w:ascii="Times New Roman" w:hAnsi="Times New Roman" w:cs="Times New Roman"/>
          <w:color w:val="171717" w:themeColor="background2" w:themeShade="1A"/>
          <w:sz w:val="24"/>
          <w:szCs w:val="24"/>
        </w:rPr>
        <w:t xml:space="preserve"> change</w:t>
      </w:r>
      <w:r w:rsidR="0044299B" w:rsidRPr="00DE3C10">
        <w:rPr>
          <w:rFonts w:ascii="Times New Roman" w:hAnsi="Times New Roman" w:cs="Times New Roman"/>
          <w:color w:val="171717" w:themeColor="background2" w:themeShade="1A"/>
          <w:sz w:val="24"/>
          <w:szCs w:val="24"/>
        </w:rPr>
        <w:t>s</w:t>
      </w:r>
      <w:r w:rsidR="0074504E" w:rsidRPr="00DE3C10">
        <w:rPr>
          <w:rFonts w:ascii="Times New Roman" w:hAnsi="Times New Roman" w:cs="Times New Roman"/>
          <w:color w:val="171717" w:themeColor="background2" w:themeShade="1A"/>
          <w:sz w:val="24"/>
          <w:szCs w:val="24"/>
        </w:rPr>
        <w:t xml:space="preserve"> in the</w:t>
      </w:r>
      <w:r w:rsidRPr="00DE3C10">
        <w:rPr>
          <w:rFonts w:ascii="Times New Roman" w:hAnsi="Times New Roman" w:cs="Times New Roman"/>
          <w:color w:val="171717" w:themeColor="background2" w:themeShade="1A"/>
          <w:sz w:val="24"/>
          <w:szCs w:val="24"/>
        </w:rPr>
        <w:t xml:space="preserve"> contract</w:t>
      </w:r>
      <w:r w:rsidR="0074504E" w:rsidRPr="00DE3C10">
        <w:rPr>
          <w:rFonts w:ascii="Times New Roman" w:hAnsi="Times New Roman" w:cs="Times New Roman"/>
          <w:color w:val="171717" w:themeColor="background2" w:themeShade="1A"/>
          <w:sz w:val="24"/>
          <w:szCs w:val="24"/>
        </w:rPr>
        <w:t xml:space="preserve"> law</w:t>
      </w:r>
      <w:r w:rsidRPr="00DE3C10">
        <w:rPr>
          <w:rFonts w:ascii="Times New Roman" w:hAnsi="Times New Roman" w:cs="Times New Roman"/>
          <w:color w:val="171717" w:themeColor="background2" w:themeShade="1A"/>
          <w:sz w:val="24"/>
          <w:szCs w:val="24"/>
        </w:rPr>
        <w:t xml:space="preserve"> sought to include a method used by judges to interpret contract documents</w:t>
      </w:r>
      <w:r w:rsidR="0074504E" w:rsidRPr="00DE3C10">
        <w:rPr>
          <w:rFonts w:ascii="Times New Roman" w:hAnsi="Times New Roman" w:cs="Times New Roman"/>
          <w:color w:val="171717" w:themeColor="background2" w:themeShade="1A"/>
          <w:sz w:val="24"/>
          <w:szCs w:val="24"/>
        </w:rPr>
        <w:t xml:space="preserve"> using </w:t>
      </w:r>
      <w:r w:rsidR="004340F2" w:rsidRPr="00DE3C10">
        <w:rPr>
          <w:rFonts w:ascii="Times New Roman" w:hAnsi="Times New Roman" w:cs="Times New Roman"/>
          <w:color w:val="171717" w:themeColor="background2" w:themeShade="1A"/>
          <w:sz w:val="24"/>
          <w:szCs w:val="24"/>
        </w:rPr>
        <w:t>language that is understandable to any ordinary person.</w:t>
      </w:r>
      <w:r w:rsidR="00031516" w:rsidRPr="00DE3C10">
        <w:rPr>
          <w:rFonts w:ascii="Times New Roman" w:hAnsi="Times New Roman" w:cs="Times New Roman"/>
          <w:color w:val="171717" w:themeColor="background2" w:themeShade="1A"/>
          <w:sz w:val="24"/>
          <w:szCs w:val="24"/>
        </w:rPr>
        <w:t xml:space="preserve"> Moreover, the law based on five </w:t>
      </w:r>
      <w:r w:rsidR="00EE2FD1" w:rsidRPr="00DE3C10">
        <w:rPr>
          <w:rFonts w:ascii="Times New Roman" w:hAnsi="Times New Roman" w:cs="Times New Roman"/>
          <w:color w:val="171717" w:themeColor="background2" w:themeShade="1A"/>
          <w:sz w:val="24"/>
          <w:szCs w:val="24"/>
        </w:rPr>
        <w:t xml:space="preserve">sound </w:t>
      </w:r>
      <w:r w:rsidR="00743767" w:rsidRPr="00DE3C10">
        <w:rPr>
          <w:rFonts w:ascii="Times New Roman" w:hAnsi="Times New Roman" w:cs="Times New Roman"/>
          <w:color w:val="171717" w:themeColor="background2" w:themeShade="1A"/>
          <w:sz w:val="24"/>
          <w:szCs w:val="24"/>
        </w:rPr>
        <w:t>judgment</w:t>
      </w:r>
      <w:r w:rsidR="00031516" w:rsidRPr="00DE3C10">
        <w:rPr>
          <w:rFonts w:ascii="Times New Roman" w:hAnsi="Times New Roman" w:cs="Times New Roman"/>
          <w:color w:val="171717" w:themeColor="background2" w:themeShade="1A"/>
          <w:sz w:val="24"/>
          <w:szCs w:val="24"/>
        </w:rPr>
        <w:t xml:space="preserve"> principles. Firstly, the meaning of words in the contract document meant what would be understandable to a</w:t>
      </w:r>
      <w:r w:rsidR="004F15EE" w:rsidRPr="00DE3C10">
        <w:rPr>
          <w:rFonts w:ascii="Times New Roman" w:hAnsi="Times New Roman" w:cs="Times New Roman"/>
          <w:color w:val="171717" w:themeColor="background2" w:themeShade="1A"/>
          <w:sz w:val="24"/>
          <w:szCs w:val="24"/>
        </w:rPr>
        <w:t>n average</w:t>
      </w:r>
      <w:r w:rsidR="00031516" w:rsidRPr="00DE3C10">
        <w:rPr>
          <w:rFonts w:ascii="Times New Roman" w:hAnsi="Times New Roman" w:cs="Times New Roman"/>
          <w:color w:val="171717" w:themeColor="background2" w:themeShade="1A"/>
          <w:sz w:val="24"/>
          <w:szCs w:val="24"/>
        </w:rPr>
        <w:t xml:space="preserve"> person in the circumstance in which they were during the signing of the contract.</w:t>
      </w:r>
      <w:r w:rsidR="00091A73">
        <w:rPr>
          <w:rStyle w:val="af1"/>
          <w:rFonts w:ascii="Times New Roman" w:hAnsi="Times New Roman" w:cs="Times New Roman"/>
          <w:color w:val="171717" w:themeColor="background2" w:themeShade="1A"/>
          <w:sz w:val="24"/>
          <w:szCs w:val="24"/>
        </w:rPr>
        <w:footnoteReference w:id="3"/>
      </w:r>
      <w:r w:rsidR="008A1005" w:rsidRPr="00DE3C10">
        <w:rPr>
          <w:rFonts w:ascii="Times New Roman" w:hAnsi="Times New Roman" w:cs="Times New Roman"/>
          <w:color w:val="171717" w:themeColor="background2" w:themeShade="1A"/>
          <w:sz w:val="24"/>
          <w:szCs w:val="24"/>
        </w:rPr>
        <w:t xml:space="preserve"> He further </w:t>
      </w:r>
      <w:r w:rsidR="0008605E" w:rsidRPr="00DE3C10">
        <w:rPr>
          <w:rFonts w:ascii="Times New Roman" w:hAnsi="Times New Roman" w:cs="Times New Roman"/>
          <w:color w:val="171717" w:themeColor="background2" w:themeShade="1A"/>
          <w:sz w:val="24"/>
          <w:szCs w:val="24"/>
        </w:rPr>
        <w:t xml:space="preserve">defined </w:t>
      </w:r>
      <w:r w:rsidR="008A1005" w:rsidRPr="00DE3C10">
        <w:rPr>
          <w:rFonts w:ascii="Times New Roman" w:hAnsi="Times New Roman" w:cs="Times New Roman"/>
          <w:color w:val="171717" w:themeColor="background2" w:themeShade="1A"/>
          <w:sz w:val="24"/>
          <w:szCs w:val="24"/>
        </w:rPr>
        <w:t xml:space="preserve">events during the period of signing the contract </w:t>
      </w:r>
      <w:r w:rsidR="0044299B" w:rsidRPr="00DE3C10">
        <w:rPr>
          <w:rFonts w:ascii="Times New Roman" w:hAnsi="Times New Roman" w:cs="Times New Roman"/>
          <w:color w:val="171717" w:themeColor="background2" w:themeShade="1A"/>
          <w:sz w:val="24"/>
          <w:szCs w:val="24"/>
        </w:rPr>
        <w:t xml:space="preserve">in his second principle </w:t>
      </w:r>
      <w:r w:rsidR="008A1005" w:rsidRPr="00DE3C10">
        <w:rPr>
          <w:rFonts w:ascii="Times New Roman" w:hAnsi="Times New Roman" w:cs="Times New Roman"/>
          <w:color w:val="171717" w:themeColor="background2" w:themeShade="1A"/>
          <w:sz w:val="24"/>
          <w:szCs w:val="24"/>
        </w:rPr>
        <w:t>as</w:t>
      </w:r>
      <w:r w:rsidR="005618D9" w:rsidRPr="00DE3C10">
        <w:rPr>
          <w:rFonts w:ascii="Times New Roman" w:hAnsi="Times New Roman" w:cs="Times New Roman"/>
          <w:color w:val="171717" w:themeColor="background2" w:themeShade="1A"/>
          <w:sz w:val="24"/>
          <w:szCs w:val="24"/>
        </w:rPr>
        <w:t xml:space="preserve"> anything that </w:t>
      </w:r>
      <w:r w:rsidR="008A1005" w:rsidRPr="00DE3C10">
        <w:rPr>
          <w:rFonts w:ascii="Times New Roman" w:hAnsi="Times New Roman" w:cs="Times New Roman"/>
          <w:color w:val="171717" w:themeColor="background2" w:themeShade="1A"/>
          <w:sz w:val="24"/>
          <w:szCs w:val="24"/>
        </w:rPr>
        <w:t>might have affected the way statements in the agreement</w:t>
      </w:r>
      <w:r w:rsidR="0008605E" w:rsidRPr="00DE3C10">
        <w:rPr>
          <w:rFonts w:ascii="Times New Roman" w:hAnsi="Times New Roman" w:cs="Times New Roman"/>
          <w:color w:val="171717" w:themeColor="background2" w:themeShade="1A"/>
          <w:sz w:val="24"/>
          <w:szCs w:val="24"/>
        </w:rPr>
        <w:t xml:space="preserve"> would have </w:t>
      </w:r>
      <w:r w:rsidR="00743767" w:rsidRPr="00DE3C10">
        <w:rPr>
          <w:rFonts w:ascii="Times New Roman" w:hAnsi="Times New Roman" w:cs="Times New Roman"/>
          <w:color w:val="171717" w:themeColor="background2" w:themeShade="1A"/>
          <w:sz w:val="24"/>
          <w:szCs w:val="24"/>
        </w:rPr>
        <w:t>been perceived by a reasonable person</w:t>
      </w:r>
      <w:r w:rsidR="00F230D8" w:rsidRPr="00DE3C10">
        <w:rPr>
          <w:rFonts w:ascii="Times New Roman" w:hAnsi="Times New Roman" w:cs="Times New Roman"/>
          <w:color w:val="171717" w:themeColor="background2" w:themeShade="1A"/>
          <w:sz w:val="24"/>
          <w:szCs w:val="24"/>
        </w:rPr>
        <w:t>.</w:t>
      </w:r>
    </w:p>
    <w:p w14:paraId="36B2460E" w14:textId="7194F9B6" w:rsidR="00A04A3D" w:rsidRPr="00DE3C10" w:rsidRDefault="00FD5493" w:rsidP="00C71A69">
      <w:pPr>
        <w:spacing w:line="480" w:lineRule="auto"/>
        <w:jc w:val="both"/>
        <w:rPr>
          <w:rFonts w:ascii="Times New Roman" w:hAnsi="Times New Roman" w:cs="Times New Roman"/>
          <w:color w:val="171717" w:themeColor="background2" w:themeShade="1A"/>
          <w:sz w:val="24"/>
          <w:szCs w:val="24"/>
        </w:rPr>
      </w:pPr>
      <w:r w:rsidRPr="00DE3C10">
        <w:rPr>
          <w:rFonts w:ascii="Times New Roman" w:hAnsi="Times New Roman" w:cs="Times New Roman"/>
          <w:color w:val="171717" w:themeColor="background2" w:themeShade="1A"/>
          <w:sz w:val="24"/>
          <w:szCs w:val="24"/>
        </w:rPr>
        <w:t>On the other hand, the law rejects any prior bargains and declarations between contracting parties as part of the circumstances during the</w:t>
      </w:r>
      <w:r w:rsidR="00BE2CE1" w:rsidRPr="00DE3C10">
        <w:rPr>
          <w:rFonts w:ascii="Times New Roman" w:hAnsi="Times New Roman" w:cs="Times New Roman"/>
          <w:color w:val="171717" w:themeColor="background2" w:themeShade="1A"/>
          <w:sz w:val="24"/>
          <w:szCs w:val="24"/>
        </w:rPr>
        <w:t xml:space="preserve"> period of signing the contract and only accept them to rectify the agreement</w:t>
      </w:r>
      <w:r w:rsidR="000F04CA" w:rsidRPr="00DE3C10">
        <w:rPr>
          <w:rFonts w:ascii="Times New Roman" w:hAnsi="Times New Roman" w:cs="Times New Roman"/>
          <w:color w:val="171717" w:themeColor="background2" w:themeShade="1A"/>
          <w:sz w:val="24"/>
          <w:szCs w:val="24"/>
        </w:rPr>
        <w:t xml:space="preserve"> in the third principle</w:t>
      </w:r>
      <w:r w:rsidR="00BE2CE1" w:rsidRPr="00DE3C10">
        <w:rPr>
          <w:rFonts w:ascii="Times New Roman" w:hAnsi="Times New Roman" w:cs="Times New Roman"/>
          <w:color w:val="171717" w:themeColor="background2" w:themeShade="1A"/>
          <w:sz w:val="24"/>
          <w:szCs w:val="24"/>
        </w:rPr>
        <w:t>.</w:t>
      </w:r>
      <w:r w:rsidR="00843AF0" w:rsidRPr="00DE3C10">
        <w:rPr>
          <w:rFonts w:ascii="Times New Roman" w:hAnsi="Times New Roman" w:cs="Times New Roman"/>
          <w:color w:val="171717" w:themeColor="background2" w:themeShade="1A"/>
          <w:sz w:val="24"/>
          <w:szCs w:val="24"/>
        </w:rPr>
        <w:t xml:space="preserve"> </w:t>
      </w:r>
      <w:r w:rsidRPr="00DE3C10">
        <w:rPr>
          <w:rFonts w:ascii="Times New Roman" w:hAnsi="Times New Roman" w:cs="Times New Roman"/>
          <w:color w:val="171717" w:themeColor="background2" w:themeShade="1A"/>
          <w:sz w:val="24"/>
          <w:szCs w:val="24"/>
        </w:rPr>
        <w:t>Furtherm</w:t>
      </w:r>
      <w:r w:rsidR="00357C8C" w:rsidRPr="00DE3C10">
        <w:rPr>
          <w:rFonts w:ascii="Times New Roman" w:hAnsi="Times New Roman" w:cs="Times New Roman"/>
          <w:color w:val="171717" w:themeColor="background2" w:themeShade="1A"/>
          <w:sz w:val="24"/>
          <w:szCs w:val="24"/>
        </w:rPr>
        <w:t xml:space="preserve">ore, the </w:t>
      </w:r>
      <w:r w:rsidRPr="00DE3C10">
        <w:rPr>
          <w:rFonts w:ascii="Times New Roman" w:hAnsi="Times New Roman" w:cs="Times New Roman"/>
          <w:color w:val="171717" w:themeColor="background2" w:themeShade="1A"/>
          <w:sz w:val="24"/>
          <w:szCs w:val="24"/>
        </w:rPr>
        <w:t xml:space="preserve">law stated </w:t>
      </w:r>
      <w:r w:rsidR="00357C8C" w:rsidRPr="00DE3C10">
        <w:rPr>
          <w:rFonts w:ascii="Times New Roman" w:hAnsi="Times New Roman" w:cs="Times New Roman"/>
          <w:color w:val="171717" w:themeColor="background2" w:themeShade="1A"/>
          <w:sz w:val="24"/>
          <w:szCs w:val="24"/>
        </w:rPr>
        <w:t>in</w:t>
      </w:r>
      <w:r w:rsidR="00132EEC" w:rsidRPr="00DE3C10">
        <w:rPr>
          <w:rFonts w:ascii="Times New Roman" w:hAnsi="Times New Roman" w:cs="Times New Roman"/>
          <w:color w:val="171717" w:themeColor="background2" w:themeShade="1A"/>
          <w:sz w:val="24"/>
          <w:szCs w:val="24"/>
        </w:rPr>
        <w:t xml:space="preserve"> </w:t>
      </w:r>
      <w:r w:rsidR="00357C8C" w:rsidRPr="00DE3C10">
        <w:rPr>
          <w:rFonts w:ascii="Times New Roman" w:hAnsi="Times New Roman" w:cs="Times New Roman"/>
          <w:color w:val="171717" w:themeColor="background2" w:themeShade="1A"/>
          <w:sz w:val="24"/>
          <w:szCs w:val="24"/>
        </w:rPr>
        <w:t xml:space="preserve">the </w:t>
      </w:r>
      <w:r w:rsidR="00132EEC" w:rsidRPr="00DE3C10">
        <w:rPr>
          <w:rFonts w:ascii="Times New Roman" w:hAnsi="Times New Roman" w:cs="Times New Roman"/>
          <w:color w:val="171717" w:themeColor="background2" w:themeShade="1A"/>
          <w:sz w:val="24"/>
          <w:szCs w:val="24"/>
        </w:rPr>
        <w:t xml:space="preserve">fourth principle </w:t>
      </w:r>
      <w:r w:rsidRPr="00DE3C10">
        <w:rPr>
          <w:rFonts w:ascii="Times New Roman" w:hAnsi="Times New Roman" w:cs="Times New Roman"/>
          <w:color w:val="171717" w:themeColor="background2" w:themeShade="1A"/>
          <w:sz w:val="24"/>
          <w:szCs w:val="24"/>
        </w:rPr>
        <w:t xml:space="preserve">that </w:t>
      </w:r>
      <w:r w:rsidR="00357C8C" w:rsidRPr="00DE3C10">
        <w:rPr>
          <w:rFonts w:ascii="Times New Roman" w:hAnsi="Times New Roman" w:cs="Times New Roman"/>
          <w:color w:val="171717" w:themeColor="background2" w:themeShade="1A"/>
          <w:sz w:val="24"/>
          <w:szCs w:val="24"/>
        </w:rPr>
        <w:t xml:space="preserve">the </w:t>
      </w:r>
      <w:r w:rsidRPr="00DE3C10">
        <w:rPr>
          <w:rFonts w:ascii="Times New Roman" w:hAnsi="Times New Roman" w:cs="Times New Roman"/>
          <w:color w:val="171717" w:themeColor="background2" w:themeShade="1A"/>
          <w:sz w:val="24"/>
          <w:szCs w:val="24"/>
        </w:rPr>
        <w:t>meaning of words in contract document</w:t>
      </w:r>
      <w:r w:rsidR="00357C8C" w:rsidRPr="00DE3C10">
        <w:rPr>
          <w:rFonts w:ascii="Times New Roman" w:hAnsi="Times New Roman" w:cs="Times New Roman"/>
          <w:color w:val="171717" w:themeColor="background2" w:themeShade="1A"/>
          <w:sz w:val="24"/>
          <w:szCs w:val="24"/>
        </w:rPr>
        <w:t>s</w:t>
      </w:r>
      <w:r w:rsidRPr="00DE3C10">
        <w:rPr>
          <w:rFonts w:ascii="Times New Roman" w:hAnsi="Times New Roman" w:cs="Times New Roman"/>
          <w:color w:val="171717" w:themeColor="background2" w:themeShade="1A"/>
          <w:sz w:val="24"/>
          <w:szCs w:val="24"/>
        </w:rPr>
        <w:t xml:space="preserve"> is how a reasonable person understands the concepts</w:t>
      </w:r>
      <w:r w:rsidR="004801DC" w:rsidRPr="00DE3C10">
        <w:rPr>
          <w:rFonts w:ascii="Times New Roman" w:hAnsi="Times New Roman" w:cs="Times New Roman"/>
          <w:color w:val="171717" w:themeColor="background2" w:themeShade="1A"/>
          <w:sz w:val="24"/>
          <w:szCs w:val="24"/>
        </w:rPr>
        <w:t xml:space="preserve"> </w:t>
      </w:r>
      <w:r w:rsidR="004801DC" w:rsidRPr="00DE3C10">
        <w:rPr>
          <w:rFonts w:ascii="Times New Roman" w:hAnsi="Times New Roman" w:cs="Times New Roman"/>
          <w:color w:val="171717" w:themeColor="background2" w:themeShade="1A"/>
          <w:sz w:val="24"/>
          <w:szCs w:val="24"/>
        </w:rPr>
        <w:lastRenderedPageBreak/>
        <w:t xml:space="preserve">in a particular </w:t>
      </w:r>
      <w:r w:rsidR="00357C8C" w:rsidRPr="00DE3C10">
        <w:rPr>
          <w:rFonts w:ascii="Times New Roman" w:hAnsi="Times New Roman" w:cs="Times New Roman"/>
          <w:color w:val="171717" w:themeColor="background2" w:themeShade="1A"/>
          <w:sz w:val="24"/>
          <w:szCs w:val="24"/>
        </w:rPr>
        <w:t>scenario</w:t>
      </w:r>
      <w:r w:rsidRPr="00DE3C10">
        <w:rPr>
          <w:rFonts w:ascii="Times New Roman" w:hAnsi="Times New Roman" w:cs="Times New Roman"/>
          <w:color w:val="171717" w:themeColor="background2" w:themeShade="1A"/>
          <w:sz w:val="24"/>
          <w:szCs w:val="24"/>
        </w:rPr>
        <w:t xml:space="preserve"> </w:t>
      </w:r>
      <w:r w:rsidR="00A55EA5">
        <w:rPr>
          <w:rFonts w:ascii="Times New Roman" w:hAnsi="Times New Roman" w:cs="Times New Roman"/>
          <w:color w:val="171717" w:themeColor="background2" w:themeShade="1A"/>
          <w:sz w:val="24"/>
          <w:szCs w:val="24"/>
        </w:rPr>
        <w:t xml:space="preserve">and not the true meaning of </w:t>
      </w:r>
      <w:r w:rsidRPr="00DE3C10">
        <w:rPr>
          <w:rFonts w:ascii="Times New Roman" w:hAnsi="Times New Roman" w:cs="Times New Roman"/>
          <w:color w:val="171717" w:themeColor="background2" w:themeShade="1A"/>
          <w:sz w:val="24"/>
          <w:szCs w:val="24"/>
        </w:rPr>
        <w:t>words.</w:t>
      </w:r>
      <w:r w:rsidR="00270711" w:rsidRPr="00DE3C10">
        <w:rPr>
          <w:rFonts w:ascii="Times New Roman" w:hAnsi="Times New Roman" w:cs="Times New Roman"/>
          <w:color w:val="171717" w:themeColor="background2" w:themeShade="1A"/>
          <w:sz w:val="24"/>
          <w:szCs w:val="24"/>
        </w:rPr>
        <w:t xml:space="preserve"> </w:t>
      </w:r>
      <w:r w:rsidR="00A847DA" w:rsidRPr="00DE3C10">
        <w:rPr>
          <w:rFonts w:ascii="Times New Roman" w:hAnsi="Times New Roman" w:cs="Times New Roman"/>
          <w:color w:val="171717" w:themeColor="background2" w:themeShade="1A"/>
          <w:sz w:val="24"/>
          <w:szCs w:val="24"/>
        </w:rPr>
        <w:t xml:space="preserve">Lastly, </w:t>
      </w:r>
      <w:r w:rsidR="00327329" w:rsidRPr="00DE3C10">
        <w:rPr>
          <w:rFonts w:ascii="Times New Roman" w:hAnsi="Times New Roman" w:cs="Times New Roman"/>
          <w:color w:val="171717" w:themeColor="background2" w:themeShade="1A"/>
          <w:sz w:val="24"/>
          <w:szCs w:val="24"/>
        </w:rPr>
        <w:t>assigning natural meaning to utterances and terms used in the contract document was meant to prevent contracting parties from using syntactical error</w:t>
      </w:r>
      <w:r w:rsidR="00037303" w:rsidRPr="00DE3C10">
        <w:rPr>
          <w:rFonts w:ascii="Times New Roman" w:hAnsi="Times New Roman" w:cs="Times New Roman"/>
          <w:color w:val="171717" w:themeColor="background2" w:themeShade="1A"/>
          <w:sz w:val="24"/>
          <w:szCs w:val="24"/>
        </w:rPr>
        <w:t>s</w:t>
      </w:r>
      <w:r w:rsidR="00327329" w:rsidRPr="00DE3C10">
        <w:rPr>
          <w:rFonts w:ascii="Times New Roman" w:hAnsi="Times New Roman" w:cs="Times New Roman"/>
          <w:color w:val="171717" w:themeColor="background2" w:themeShade="1A"/>
          <w:sz w:val="24"/>
          <w:szCs w:val="24"/>
        </w:rPr>
        <w:t xml:space="preserve"> in the contract document to evade their obligations.</w:t>
      </w:r>
    </w:p>
    <w:p w14:paraId="70364A98" w14:textId="77777777" w:rsidR="00153E31" w:rsidRPr="00DE3C10" w:rsidRDefault="00FD5493" w:rsidP="00C71A69">
      <w:pPr>
        <w:spacing w:line="480" w:lineRule="auto"/>
        <w:jc w:val="both"/>
        <w:rPr>
          <w:rFonts w:ascii="Times New Roman" w:hAnsi="Times New Roman" w:cs="Times New Roman"/>
          <w:b/>
          <w:color w:val="171717" w:themeColor="background2" w:themeShade="1A"/>
          <w:sz w:val="24"/>
          <w:szCs w:val="24"/>
        </w:rPr>
      </w:pPr>
      <w:r w:rsidRPr="00DE3C10">
        <w:rPr>
          <w:rFonts w:ascii="Times New Roman" w:hAnsi="Times New Roman" w:cs="Times New Roman"/>
          <w:b/>
          <w:color w:val="171717" w:themeColor="background2" w:themeShade="1A"/>
          <w:sz w:val="24"/>
          <w:szCs w:val="24"/>
        </w:rPr>
        <w:t>Changes in the contract p</w:t>
      </w:r>
      <w:r w:rsidR="00707781" w:rsidRPr="00DE3C10">
        <w:rPr>
          <w:rFonts w:ascii="Times New Roman" w:hAnsi="Times New Roman" w:cs="Times New Roman"/>
          <w:b/>
          <w:color w:val="171717" w:themeColor="background2" w:themeShade="1A"/>
          <w:sz w:val="24"/>
          <w:szCs w:val="24"/>
        </w:rPr>
        <w:t>rinciples</w:t>
      </w:r>
    </w:p>
    <w:p w14:paraId="560625F3" w14:textId="7B903324" w:rsidR="001D7053" w:rsidRDefault="00FD5493" w:rsidP="00C71A69">
      <w:pPr>
        <w:spacing w:line="480" w:lineRule="auto"/>
        <w:jc w:val="both"/>
        <w:rPr>
          <w:rFonts w:ascii="Times New Roman" w:hAnsi="Times New Roman" w:cs="Times New Roman"/>
          <w:color w:val="171717" w:themeColor="background2" w:themeShade="1A"/>
          <w:sz w:val="24"/>
          <w:szCs w:val="24"/>
        </w:rPr>
      </w:pPr>
      <w:r w:rsidRPr="00DE3C10">
        <w:rPr>
          <w:rFonts w:ascii="Times New Roman" w:hAnsi="Times New Roman" w:cs="Times New Roman"/>
          <w:color w:val="171717" w:themeColor="background2" w:themeShade="1A"/>
          <w:sz w:val="24"/>
          <w:szCs w:val="24"/>
        </w:rPr>
        <w:t>The first change to the p</w:t>
      </w:r>
      <w:r w:rsidR="00357C8C" w:rsidRPr="00DE3C10">
        <w:rPr>
          <w:rFonts w:ascii="Times New Roman" w:hAnsi="Times New Roman" w:cs="Times New Roman"/>
          <w:color w:val="171717" w:themeColor="background2" w:themeShade="1A"/>
          <w:sz w:val="24"/>
          <w:szCs w:val="24"/>
        </w:rPr>
        <w:t>olicy</w:t>
      </w:r>
      <w:r w:rsidRPr="00DE3C10">
        <w:rPr>
          <w:rFonts w:ascii="Times New Roman" w:hAnsi="Times New Roman" w:cs="Times New Roman"/>
          <w:color w:val="171717" w:themeColor="background2" w:themeShade="1A"/>
          <w:sz w:val="24"/>
          <w:szCs w:val="24"/>
        </w:rPr>
        <w:t xml:space="preserve"> of interpreting the contract document </w:t>
      </w:r>
      <w:r w:rsidR="00DA5AAA" w:rsidRPr="00DE3C10">
        <w:rPr>
          <w:rFonts w:ascii="Times New Roman" w:hAnsi="Times New Roman" w:cs="Times New Roman"/>
          <w:color w:val="171717" w:themeColor="background2" w:themeShade="1A"/>
          <w:sz w:val="24"/>
          <w:szCs w:val="24"/>
        </w:rPr>
        <w:t>concerned the second principle stated by Lord Hoffmann.</w:t>
      </w:r>
      <w:r w:rsidR="00BE29D4" w:rsidRPr="00DE3C10">
        <w:rPr>
          <w:rFonts w:ascii="Times New Roman" w:hAnsi="Times New Roman" w:cs="Times New Roman"/>
          <w:color w:val="171717" w:themeColor="background2" w:themeShade="1A"/>
          <w:sz w:val="24"/>
          <w:szCs w:val="24"/>
        </w:rPr>
        <w:t xml:space="preserve"> </w:t>
      </w:r>
      <w:r w:rsidR="00DF658F" w:rsidRPr="00DE3C10">
        <w:rPr>
          <w:rFonts w:ascii="Times New Roman" w:hAnsi="Times New Roman" w:cs="Times New Roman"/>
          <w:color w:val="171717" w:themeColor="background2" w:themeShade="1A"/>
          <w:sz w:val="24"/>
          <w:szCs w:val="24"/>
        </w:rPr>
        <w:t xml:space="preserve">For instance, Saville LJ </w:t>
      </w:r>
      <w:r w:rsidR="00357C8C" w:rsidRPr="00DE3C10">
        <w:rPr>
          <w:rFonts w:ascii="Times New Roman" w:hAnsi="Times New Roman" w:cs="Times New Roman"/>
          <w:color w:val="171717" w:themeColor="background2" w:themeShade="1A"/>
          <w:sz w:val="24"/>
          <w:szCs w:val="24"/>
        </w:rPr>
        <w:t xml:space="preserve">was against the introduction of </w:t>
      </w:r>
      <w:r w:rsidR="00DF658F" w:rsidRPr="00DE3C10">
        <w:rPr>
          <w:rFonts w:ascii="Times New Roman" w:hAnsi="Times New Roman" w:cs="Times New Roman"/>
          <w:color w:val="171717" w:themeColor="background2" w:themeShade="1A"/>
          <w:sz w:val="24"/>
          <w:szCs w:val="24"/>
        </w:rPr>
        <w:t xml:space="preserve">background evidence </w:t>
      </w:r>
      <w:r w:rsidR="00950CF0" w:rsidRPr="00DE3C10">
        <w:rPr>
          <w:rFonts w:ascii="Times New Roman" w:hAnsi="Times New Roman" w:cs="Times New Roman"/>
          <w:color w:val="171717" w:themeColor="background2" w:themeShade="1A"/>
          <w:sz w:val="24"/>
          <w:szCs w:val="24"/>
        </w:rPr>
        <w:t>for the case of</w:t>
      </w:r>
      <w:r w:rsidR="00DF658F" w:rsidRPr="00DE3C10">
        <w:rPr>
          <w:rFonts w:ascii="Times New Roman" w:hAnsi="Times New Roman" w:cs="Times New Roman"/>
          <w:color w:val="171717" w:themeColor="background2" w:themeShade="1A"/>
          <w:sz w:val="24"/>
          <w:szCs w:val="24"/>
        </w:rPr>
        <w:t xml:space="preserve"> </w:t>
      </w:r>
      <w:r w:rsidR="00357C8C" w:rsidRPr="00DE3C10">
        <w:rPr>
          <w:rFonts w:ascii="Times New Roman" w:hAnsi="Times New Roman" w:cs="Times New Roman"/>
          <w:color w:val="171717" w:themeColor="background2" w:themeShade="1A"/>
          <w:sz w:val="24"/>
          <w:szCs w:val="24"/>
        </w:rPr>
        <w:t xml:space="preserve">the </w:t>
      </w:r>
      <w:r w:rsidR="00DF658F" w:rsidRPr="00DE3C10">
        <w:rPr>
          <w:rFonts w:ascii="Times New Roman" w:hAnsi="Times New Roman" w:cs="Times New Roman"/>
          <w:i/>
          <w:color w:val="171717" w:themeColor="background2" w:themeShade="1A"/>
          <w:sz w:val="24"/>
          <w:szCs w:val="24"/>
        </w:rPr>
        <w:t xml:space="preserve">National Bank of Sharjah v </w:t>
      </w:r>
      <w:proofErr w:type="spellStart"/>
      <w:r w:rsidR="00DF658F" w:rsidRPr="00DE3C10">
        <w:rPr>
          <w:rFonts w:ascii="Times New Roman" w:hAnsi="Times New Roman" w:cs="Times New Roman"/>
          <w:i/>
          <w:color w:val="171717" w:themeColor="background2" w:themeShade="1A"/>
          <w:sz w:val="24"/>
          <w:szCs w:val="24"/>
        </w:rPr>
        <w:t>Dellborg</w:t>
      </w:r>
      <w:proofErr w:type="spellEnd"/>
      <w:r w:rsidR="00DF658F" w:rsidRPr="00DE3C10">
        <w:rPr>
          <w:rFonts w:ascii="Times New Roman" w:hAnsi="Times New Roman" w:cs="Times New Roman"/>
          <w:color w:val="171717" w:themeColor="background2" w:themeShade="1A"/>
          <w:sz w:val="24"/>
          <w:szCs w:val="24"/>
        </w:rPr>
        <w:t>.</w:t>
      </w:r>
      <w:r w:rsidR="00091A73">
        <w:rPr>
          <w:rStyle w:val="af1"/>
          <w:rFonts w:ascii="Times New Roman" w:hAnsi="Times New Roman" w:cs="Times New Roman"/>
          <w:color w:val="171717" w:themeColor="background2" w:themeShade="1A"/>
          <w:sz w:val="24"/>
          <w:szCs w:val="24"/>
        </w:rPr>
        <w:footnoteReference w:id="4"/>
      </w:r>
      <w:r w:rsidR="00FF670D" w:rsidRPr="00DE3C10">
        <w:rPr>
          <w:rFonts w:ascii="Times New Roman" w:hAnsi="Times New Roman" w:cs="Times New Roman"/>
          <w:color w:val="171717" w:themeColor="background2" w:themeShade="1A"/>
          <w:sz w:val="24"/>
          <w:szCs w:val="24"/>
        </w:rPr>
        <w:t xml:space="preserve"> Saville noted that the contract had clear outcomes. Therefore the submission of proof of the background information would have confused other people whom the deal might have concerned.</w:t>
      </w:r>
      <w:r w:rsidR="002B7C2E" w:rsidRPr="00DE3C10">
        <w:rPr>
          <w:rFonts w:ascii="Times New Roman" w:hAnsi="Times New Roman" w:cs="Times New Roman"/>
          <w:color w:val="171717" w:themeColor="background2" w:themeShade="1A"/>
          <w:sz w:val="24"/>
          <w:szCs w:val="24"/>
        </w:rPr>
        <w:t xml:space="preserve"> Hence the second principle </w:t>
      </w:r>
      <w:r w:rsidR="00B64957" w:rsidRPr="00DE3C10">
        <w:rPr>
          <w:rFonts w:ascii="Times New Roman" w:hAnsi="Times New Roman" w:cs="Times New Roman"/>
          <w:color w:val="171717" w:themeColor="background2" w:themeShade="1A"/>
          <w:sz w:val="24"/>
          <w:szCs w:val="24"/>
        </w:rPr>
        <w:t xml:space="preserve">of the contract was changed for </w:t>
      </w:r>
      <w:r w:rsidR="00CA3B16" w:rsidRPr="00DE3C10">
        <w:rPr>
          <w:rFonts w:ascii="Times New Roman" w:hAnsi="Times New Roman" w:cs="Times New Roman"/>
          <w:color w:val="171717" w:themeColor="background2" w:themeShade="1A"/>
          <w:sz w:val="24"/>
          <w:szCs w:val="24"/>
        </w:rPr>
        <w:t>contract cases that had clear outcomes, in wh</w:t>
      </w:r>
      <w:r w:rsidR="00BA6A0B" w:rsidRPr="00DE3C10">
        <w:rPr>
          <w:rFonts w:ascii="Times New Roman" w:hAnsi="Times New Roman" w:cs="Times New Roman"/>
          <w:color w:val="171717" w:themeColor="background2" w:themeShade="1A"/>
          <w:sz w:val="24"/>
          <w:szCs w:val="24"/>
        </w:rPr>
        <w:t>ich the face value of the language used in the agreement was the real meaning of the words</w:t>
      </w:r>
      <w:r w:rsidR="000A19E5" w:rsidRPr="00DE3C10">
        <w:rPr>
          <w:rFonts w:ascii="Times New Roman" w:hAnsi="Times New Roman" w:cs="Times New Roman"/>
          <w:color w:val="171717" w:themeColor="background2" w:themeShade="1A"/>
          <w:sz w:val="24"/>
          <w:szCs w:val="24"/>
        </w:rPr>
        <w:t xml:space="preserve"> in the contract</w:t>
      </w:r>
      <w:r w:rsidR="00BA6A0B" w:rsidRPr="00DE3C10">
        <w:rPr>
          <w:rFonts w:ascii="Times New Roman" w:hAnsi="Times New Roman" w:cs="Times New Roman"/>
          <w:color w:val="171717" w:themeColor="background2" w:themeShade="1A"/>
          <w:sz w:val="24"/>
          <w:szCs w:val="24"/>
        </w:rPr>
        <w:t>.</w:t>
      </w:r>
      <w:r w:rsidRPr="00DE3C10">
        <w:rPr>
          <w:rFonts w:ascii="Times New Roman" w:hAnsi="Times New Roman" w:cs="Times New Roman"/>
          <w:color w:val="171717" w:themeColor="background2" w:themeShade="1A"/>
          <w:sz w:val="24"/>
          <w:szCs w:val="24"/>
        </w:rPr>
        <w:t xml:space="preserve"> Saville further warned that for a contract with sensible words, the introduction of background evidence might jeopardize the real meaning of the words</w:t>
      </w:r>
      <w:r w:rsidR="00B70E5D" w:rsidRPr="00DE3C10">
        <w:rPr>
          <w:rFonts w:ascii="Times New Roman" w:hAnsi="Times New Roman" w:cs="Times New Roman"/>
          <w:color w:val="171717" w:themeColor="background2" w:themeShade="1A"/>
          <w:sz w:val="24"/>
          <w:szCs w:val="24"/>
        </w:rPr>
        <w:t>. More specifically</w:t>
      </w:r>
      <w:r w:rsidR="0079523E" w:rsidRPr="00DE3C10">
        <w:rPr>
          <w:rFonts w:ascii="Times New Roman" w:hAnsi="Times New Roman" w:cs="Times New Roman"/>
          <w:color w:val="171717" w:themeColor="background2" w:themeShade="1A"/>
          <w:sz w:val="24"/>
          <w:szCs w:val="24"/>
        </w:rPr>
        <w:t xml:space="preserve">, the purpose of the terms </w:t>
      </w:r>
      <w:r w:rsidR="00B0124B" w:rsidRPr="00DE3C10">
        <w:rPr>
          <w:rFonts w:ascii="Times New Roman" w:hAnsi="Times New Roman" w:cs="Times New Roman"/>
          <w:color w:val="171717" w:themeColor="background2" w:themeShade="1A"/>
          <w:sz w:val="24"/>
          <w:szCs w:val="24"/>
        </w:rPr>
        <w:t>would</w:t>
      </w:r>
      <w:r w:rsidR="0079523E" w:rsidRPr="00DE3C10">
        <w:rPr>
          <w:rFonts w:ascii="Times New Roman" w:hAnsi="Times New Roman" w:cs="Times New Roman"/>
          <w:color w:val="171717" w:themeColor="background2" w:themeShade="1A"/>
          <w:sz w:val="24"/>
          <w:szCs w:val="24"/>
        </w:rPr>
        <w:t xml:space="preserve"> be distorted for </w:t>
      </w:r>
      <w:r w:rsidR="00A33391" w:rsidRPr="00DE3C10">
        <w:rPr>
          <w:rFonts w:ascii="Times New Roman" w:hAnsi="Times New Roman" w:cs="Times New Roman"/>
          <w:color w:val="171717" w:themeColor="background2" w:themeShade="1A"/>
          <w:sz w:val="24"/>
          <w:szCs w:val="24"/>
        </w:rPr>
        <w:t>an assignee since</w:t>
      </w:r>
      <w:r w:rsidR="0079523E" w:rsidRPr="00DE3C10">
        <w:rPr>
          <w:rFonts w:ascii="Times New Roman" w:hAnsi="Times New Roman" w:cs="Times New Roman"/>
          <w:color w:val="171717" w:themeColor="background2" w:themeShade="1A"/>
          <w:sz w:val="24"/>
          <w:szCs w:val="24"/>
        </w:rPr>
        <w:t xml:space="preserve"> they might lack </w:t>
      </w:r>
      <w:r w:rsidR="004A12BD" w:rsidRPr="00DE3C10">
        <w:rPr>
          <w:rFonts w:ascii="Times New Roman" w:hAnsi="Times New Roman" w:cs="Times New Roman"/>
          <w:color w:val="171717" w:themeColor="background2" w:themeShade="1A"/>
          <w:sz w:val="24"/>
          <w:szCs w:val="24"/>
        </w:rPr>
        <w:t xml:space="preserve">the necessary </w:t>
      </w:r>
      <w:r w:rsidR="00EC7B8A" w:rsidRPr="00DE3C10">
        <w:rPr>
          <w:rFonts w:ascii="Times New Roman" w:hAnsi="Times New Roman" w:cs="Times New Roman"/>
          <w:color w:val="171717" w:themeColor="background2" w:themeShade="1A"/>
          <w:sz w:val="24"/>
          <w:szCs w:val="24"/>
        </w:rPr>
        <w:t>experience in</w:t>
      </w:r>
      <w:r w:rsidR="0079523E" w:rsidRPr="00DE3C10">
        <w:rPr>
          <w:rFonts w:ascii="Times New Roman" w:hAnsi="Times New Roman" w:cs="Times New Roman"/>
          <w:color w:val="171717" w:themeColor="background2" w:themeShade="1A"/>
          <w:sz w:val="24"/>
          <w:szCs w:val="24"/>
        </w:rPr>
        <w:t xml:space="preserve"> the circumstances of the case</w:t>
      </w:r>
      <w:r w:rsidR="00D671D3" w:rsidRPr="00DE3C10">
        <w:rPr>
          <w:rFonts w:ascii="Times New Roman" w:hAnsi="Times New Roman" w:cs="Times New Roman"/>
          <w:color w:val="171717" w:themeColor="background2" w:themeShade="1A"/>
          <w:sz w:val="24"/>
          <w:szCs w:val="24"/>
        </w:rPr>
        <w:t xml:space="preserve">. </w:t>
      </w:r>
    </w:p>
    <w:p w14:paraId="488253FA" w14:textId="655079C5" w:rsidR="00C34ECA" w:rsidRDefault="00FD5493" w:rsidP="00C71A69">
      <w:pPr>
        <w:spacing w:line="480" w:lineRule="auto"/>
        <w:jc w:val="both"/>
        <w:rPr>
          <w:rFonts w:ascii="Times New Roman" w:hAnsi="Times New Roman" w:cs="Times New Roman"/>
          <w:color w:val="171717" w:themeColor="background2" w:themeShade="1A"/>
          <w:sz w:val="24"/>
          <w:szCs w:val="24"/>
        </w:rPr>
      </w:pPr>
      <w:r w:rsidRPr="00DE3C10">
        <w:rPr>
          <w:rFonts w:ascii="Times New Roman" w:hAnsi="Times New Roman" w:cs="Times New Roman"/>
          <w:color w:val="171717" w:themeColor="background2" w:themeShade="1A"/>
          <w:sz w:val="24"/>
          <w:szCs w:val="24"/>
        </w:rPr>
        <w:t>Lord Hoffmann noted the impo</w:t>
      </w:r>
      <w:r w:rsidR="00F94EBE" w:rsidRPr="00DE3C10">
        <w:rPr>
          <w:rFonts w:ascii="Times New Roman" w:hAnsi="Times New Roman" w:cs="Times New Roman"/>
          <w:color w:val="171717" w:themeColor="background2" w:themeShade="1A"/>
          <w:sz w:val="24"/>
          <w:szCs w:val="24"/>
        </w:rPr>
        <w:t xml:space="preserve">rtance of the changes </w:t>
      </w:r>
      <w:r w:rsidR="00C51F3D">
        <w:rPr>
          <w:rFonts w:ascii="Times New Roman" w:hAnsi="Times New Roman" w:cs="Times New Roman"/>
          <w:color w:val="171717" w:themeColor="background2" w:themeShade="1A"/>
          <w:sz w:val="24"/>
          <w:szCs w:val="24"/>
        </w:rPr>
        <w:t xml:space="preserve">in the second principle </w:t>
      </w:r>
      <w:r w:rsidR="00F94EBE" w:rsidRPr="00DE3C10">
        <w:rPr>
          <w:rFonts w:ascii="Times New Roman" w:hAnsi="Times New Roman" w:cs="Times New Roman"/>
          <w:color w:val="171717" w:themeColor="background2" w:themeShade="1A"/>
          <w:sz w:val="24"/>
          <w:szCs w:val="24"/>
        </w:rPr>
        <w:t>during the</w:t>
      </w:r>
      <w:r w:rsidRPr="00DE3C10">
        <w:rPr>
          <w:rFonts w:ascii="Times New Roman" w:hAnsi="Times New Roman" w:cs="Times New Roman"/>
          <w:color w:val="171717" w:themeColor="background2" w:themeShade="1A"/>
          <w:sz w:val="24"/>
          <w:szCs w:val="24"/>
        </w:rPr>
        <w:t xml:space="preserve"> trial of </w:t>
      </w:r>
      <w:r w:rsidRPr="00DE3C10">
        <w:rPr>
          <w:rFonts w:ascii="Times New Roman" w:hAnsi="Times New Roman" w:cs="Times New Roman"/>
          <w:i/>
          <w:color w:val="171717" w:themeColor="background2" w:themeShade="1A"/>
          <w:sz w:val="24"/>
          <w:szCs w:val="24"/>
        </w:rPr>
        <w:t xml:space="preserve">Chartbrook ltd. </w:t>
      </w:r>
      <w:r w:rsidR="00424EFD" w:rsidRPr="00DE3C10">
        <w:rPr>
          <w:rFonts w:ascii="Times New Roman" w:hAnsi="Times New Roman" w:cs="Times New Roman"/>
          <w:i/>
          <w:color w:val="171717" w:themeColor="background2" w:themeShade="1A"/>
          <w:sz w:val="24"/>
          <w:szCs w:val="24"/>
        </w:rPr>
        <w:t>v</w:t>
      </w:r>
      <w:r w:rsidRPr="00DE3C10">
        <w:rPr>
          <w:rFonts w:ascii="Times New Roman" w:hAnsi="Times New Roman" w:cs="Times New Roman"/>
          <w:i/>
          <w:color w:val="171717" w:themeColor="background2" w:themeShade="1A"/>
          <w:sz w:val="24"/>
          <w:szCs w:val="24"/>
        </w:rPr>
        <w:t xml:space="preserve"> Persimmon Homes Ltd</w:t>
      </w:r>
      <w:r w:rsidR="00A33391" w:rsidRPr="00DE3C10">
        <w:rPr>
          <w:rFonts w:ascii="Times New Roman" w:hAnsi="Times New Roman" w:cs="Times New Roman"/>
          <w:color w:val="171717" w:themeColor="background2" w:themeShade="1A"/>
          <w:sz w:val="24"/>
          <w:szCs w:val="24"/>
        </w:rPr>
        <w:t>.</w:t>
      </w:r>
      <w:r w:rsidR="00A55EA5">
        <w:rPr>
          <w:rStyle w:val="af1"/>
          <w:rFonts w:ascii="Times New Roman" w:hAnsi="Times New Roman" w:cs="Times New Roman"/>
          <w:color w:val="171717" w:themeColor="background2" w:themeShade="1A"/>
          <w:sz w:val="24"/>
          <w:szCs w:val="24"/>
        </w:rPr>
        <w:footnoteReference w:id="5"/>
      </w:r>
      <w:r w:rsidR="001A72B0" w:rsidRPr="00DE3C10">
        <w:rPr>
          <w:rFonts w:ascii="Times New Roman" w:hAnsi="Times New Roman" w:cs="Times New Roman"/>
          <w:color w:val="171717" w:themeColor="background2" w:themeShade="1A"/>
          <w:sz w:val="24"/>
          <w:szCs w:val="24"/>
        </w:rPr>
        <w:t xml:space="preserve"> The</w:t>
      </w:r>
      <w:r w:rsidR="00977C29" w:rsidRPr="00DE3C10">
        <w:rPr>
          <w:rFonts w:ascii="Times New Roman" w:hAnsi="Times New Roman" w:cs="Times New Roman"/>
          <w:color w:val="171717" w:themeColor="background2" w:themeShade="1A"/>
          <w:sz w:val="24"/>
          <w:szCs w:val="24"/>
        </w:rPr>
        <w:t xml:space="preserve">refore, </w:t>
      </w:r>
      <w:r w:rsidR="00EF3093" w:rsidRPr="00DE3C10">
        <w:rPr>
          <w:rFonts w:ascii="Times New Roman" w:hAnsi="Times New Roman" w:cs="Times New Roman"/>
          <w:color w:val="171717" w:themeColor="background2" w:themeShade="1A"/>
          <w:sz w:val="24"/>
          <w:szCs w:val="24"/>
        </w:rPr>
        <w:t>the second</w:t>
      </w:r>
      <w:r w:rsidR="001A72B0" w:rsidRPr="00DE3C10">
        <w:rPr>
          <w:rFonts w:ascii="Times New Roman" w:hAnsi="Times New Roman" w:cs="Times New Roman"/>
          <w:color w:val="171717" w:themeColor="background2" w:themeShade="1A"/>
          <w:sz w:val="24"/>
          <w:szCs w:val="24"/>
        </w:rPr>
        <w:t xml:space="preserve"> principle was given a new </w:t>
      </w:r>
      <w:r w:rsidR="00490FDB" w:rsidRPr="00DE3C10">
        <w:rPr>
          <w:rFonts w:ascii="Times New Roman" w:hAnsi="Times New Roman" w:cs="Times New Roman"/>
          <w:color w:val="171717" w:themeColor="background2" w:themeShade="1A"/>
          <w:sz w:val="24"/>
          <w:szCs w:val="24"/>
        </w:rPr>
        <w:t xml:space="preserve">definition by </w:t>
      </w:r>
      <w:r w:rsidR="001A72B0" w:rsidRPr="00DE3C10">
        <w:rPr>
          <w:rFonts w:ascii="Times New Roman" w:hAnsi="Times New Roman" w:cs="Times New Roman"/>
          <w:color w:val="171717" w:themeColor="background2" w:themeShade="1A"/>
          <w:sz w:val="24"/>
          <w:szCs w:val="24"/>
        </w:rPr>
        <w:t>Lord Hoffmann</w:t>
      </w:r>
      <w:r w:rsidR="0010387B" w:rsidRPr="00DE3C10">
        <w:rPr>
          <w:rFonts w:ascii="Times New Roman" w:hAnsi="Times New Roman" w:cs="Times New Roman"/>
          <w:color w:val="171717" w:themeColor="background2" w:themeShade="1A"/>
          <w:sz w:val="24"/>
          <w:szCs w:val="24"/>
        </w:rPr>
        <w:t>,</w:t>
      </w:r>
      <w:r w:rsidR="001A72B0" w:rsidRPr="00DE3C10">
        <w:rPr>
          <w:rFonts w:ascii="Times New Roman" w:hAnsi="Times New Roman" w:cs="Times New Roman"/>
          <w:color w:val="171717" w:themeColor="background2" w:themeShade="1A"/>
          <w:sz w:val="24"/>
          <w:szCs w:val="24"/>
        </w:rPr>
        <w:t xml:space="preserve"> </w:t>
      </w:r>
      <w:r w:rsidR="0079218E" w:rsidRPr="00DE3C10">
        <w:rPr>
          <w:rFonts w:ascii="Times New Roman" w:hAnsi="Times New Roman" w:cs="Times New Roman"/>
          <w:color w:val="171717" w:themeColor="background2" w:themeShade="1A"/>
          <w:sz w:val="24"/>
          <w:szCs w:val="24"/>
        </w:rPr>
        <w:t>and he said</w:t>
      </w:r>
      <w:r w:rsidR="001A72B0" w:rsidRPr="00DE3C10">
        <w:rPr>
          <w:rFonts w:ascii="Times New Roman" w:hAnsi="Times New Roman" w:cs="Times New Roman"/>
          <w:color w:val="171717" w:themeColor="background2" w:themeShade="1A"/>
          <w:sz w:val="24"/>
          <w:szCs w:val="24"/>
        </w:rPr>
        <w:t xml:space="preserve"> that he did not mean a</w:t>
      </w:r>
      <w:r w:rsidR="0010387B" w:rsidRPr="00DE3C10">
        <w:rPr>
          <w:rFonts w:ascii="Times New Roman" w:hAnsi="Times New Roman" w:cs="Times New Roman"/>
          <w:color w:val="171717" w:themeColor="background2" w:themeShade="1A"/>
          <w:sz w:val="24"/>
          <w:szCs w:val="24"/>
        </w:rPr>
        <w:t xml:space="preserve">bsolutely anything when he mentioned </w:t>
      </w:r>
      <w:r w:rsidR="001A72B0" w:rsidRPr="00DE3C10">
        <w:rPr>
          <w:rFonts w:ascii="Times New Roman" w:hAnsi="Times New Roman" w:cs="Times New Roman"/>
          <w:color w:val="171717" w:themeColor="background2" w:themeShade="1A"/>
          <w:sz w:val="24"/>
          <w:szCs w:val="24"/>
        </w:rPr>
        <w:t xml:space="preserve">absolutely anything in the </w:t>
      </w:r>
      <w:r w:rsidR="003E5193" w:rsidRPr="00DE3C10">
        <w:rPr>
          <w:rFonts w:ascii="Times New Roman" w:hAnsi="Times New Roman" w:cs="Times New Roman"/>
          <w:color w:val="171717" w:themeColor="background2" w:themeShade="1A"/>
          <w:sz w:val="24"/>
          <w:szCs w:val="24"/>
        </w:rPr>
        <w:t>investors’</w:t>
      </w:r>
      <w:r w:rsidR="001A72B0" w:rsidRPr="00DE3C10">
        <w:rPr>
          <w:rFonts w:ascii="Times New Roman" w:hAnsi="Times New Roman" w:cs="Times New Roman"/>
          <w:color w:val="171717" w:themeColor="background2" w:themeShade="1A"/>
          <w:sz w:val="24"/>
          <w:szCs w:val="24"/>
        </w:rPr>
        <w:t xml:space="preserve"> case.</w:t>
      </w:r>
      <w:r w:rsidR="0032182A">
        <w:rPr>
          <w:rFonts w:ascii="Times New Roman" w:hAnsi="Times New Roman" w:cs="Times New Roman"/>
          <w:color w:val="171717" w:themeColor="background2" w:themeShade="1A"/>
          <w:sz w:val="24"/>
          <w:szCs w:val="24"/>
        </w:rPr>
        <w:t xml:space="preserve"> </w:t>
      </w:r>
      <w:r w:rsidR="00707781" w:rsidRPr="00DE3C10">
        <w:rPr>
          <w:rFonts w:ascii="Times New Roman" w:hAnsi="Times New Roman" w:cs="Times New Roman"/>
          <w:color w:val="171717" w:themeColor="background2" w:themeShade="1A"/>
          <w:sz w:val="24"/>
          <w:szCs w:val="24"/>
        </w:rPr>
        <w:t xml:space="preserve">Another change to the principles of contracts was on the third </w:t>
      </w:r>
      <w:r w:rsidR="001C7754" w:rsidRPr="00DE3C10">
        <w:rPr>
          <w:rFonts w:ascii="Times New Roman" w:hAnsi="Times New Roman" w:cs="Times New Roman"/>
          <w:color w:val="171717" w:themeColor="background2" w:themeShade="1A"/>
          <w:sz w:val="24"/>
          <w:szCs w:val="24"/>
        </w:rPr>
        <w:t>principle that</w:t>
      </w:r>
      <w:r w:rsidR="00C1487D" w:rsidRPr="00DE3C10">
        <w:rPr>
          <w:rFonts w:ascii="Times New Roman" w:hAnsi="Times New Roman" w:cs="Times New Roman"/>
          <w:color w:val="171717" w:themeColor="background2" w:themeShade="1A"/>
          <w:sz w:val="24"/>
          <w:szCs w:val="24"/>
        </w:rPr>
        <w:t xml:space="preserve"> allowed for the admissibility of the negotiations bef</w:t>
      </w:r>
      <w:r w:rsidR="00604C01" w:rsidRPr="00DE3C10">
        <w:rPr>
          <w:rFonts w:ascii="Times New Roman" w:hAnsi="Times New Roman" w:cs="Times New Roman"/>
          <w:color w:val="171717" w:themeColor="background2" w:themeShade="1A"/>
          <w:sz w:val="24"/>
          <w:szCs w:val="24"/>
        </w:rPr>
        <w:t xml:space="preserve">ore the signing </w:t>
      </w:r>
      <w:r w:rsidR="00604C01" w:rsidRPr="00DE3C10">
        <w:rPr>
          <w:rFonts w:ascii="Times New Roman" w:hAnsi="Times New Roman" w:cs="Times New Roman"/>
          <w:color w:val="171717" w:themeColor="background2" w:themeShade="1A"/>
          <w:sz w:val="24"/>
          <w:szCs w:val="24"/>
        </w:rPr>
        <w:lastRenderedPageBreak/>
        <w:t>of a</w:t>
      </w:r>
      <w:r w:rsidR="009746E1" w:rsidRPr="00DE3C10">
        <w:rPr>
          <w:rFonts w:ascii="Times New Roman" w:hAnsi="Times New Roman" w:cs="Times New Roman"/>
          <w:color w:val="171717" w:themeColor="background2" w:themeShade="1A"/>
          <w:sz w:val="24"/>
          <w:szCs w:val="24"/>
        </w:rPr>
        <w:t xml:space="preserve">n agreement, and it was evident in the </w:t>
      </w:r>
      <w:r w:rsidR="009746E1" w:rsidRPr="00DE3C10">
        <w:rPr>
          <w:rFonts w:ascii="Times New Roman" w:hAnsi="Times New Roman" w:cs="Times New Roman"/>
          <w:i/>
          <w:color w:val="171717" w:themeColor="background2" w:themeShade="1A"/>
          <w:sz w:val="24"/>
          <w:szCs w:val="24"/>
        </w:rPr>
        <w:t>Oceanbulk Shipping and Trading SA v TMT Asia Limited</w:t>
      </w:r>
      <w:r w:rsidR="009746E1" w:rsidRPr="00DE3C10">
        <w:rPr>
          <w:rFonts w:ascii="Times New Roman" w:hAnsi="Times New Roman" w:cs="Times New Roman"/>
          <w:color w:val="171717" w:themeColor="background2" w:themeShade="1A"/>
          <w:sz w:val="24"/>
          <w:szCs w:val="24"/>
        </w:rPr>
        <w:t>.</w:t>
      </w:r>
      <w:r w:rsidR="00A55EA5">
        <w:rPr>
          <w:rStyle w:val="af1"/>
          <w:rFonts w:ascii="Times New Roman" w:hAnsi="Times New Roman" w:cs="Times New Roman"/>
          <w:color w:val="171717" w:themeColor="background2" w:themeShade="1A"/>
          <w:sz w:val="24"/>
          <w:szCs w:val="24"/>
        </w:rPr>
        <w:footnoteReference w:id="6"/>
      </w:r>
      <w:r w:rsidR="00D7707A" w:rsidRPr="00DE3C10">
        <w:rPr>
          <w:rFonts w:ascii="Times New Roman" w:hAnsi="Times New Roman" w:cs="Times New Roman"/>
          <w:color w:val="171717" w:themeColor="background2" w:themeShade="1A"/>
          <w:sz w:val="24"/>
          <w:szCs w:val="24"/>
        </w:rPr>
        <w:t xml:space="preserve"> </w:t>
      </w:r>
      <w:r w:rsidR="00F52F5E" w:rsidRPr="00DE3C10">
        <w:rPr>
          <w:rFonts w:ascii="Times New Roman" w:hAnsi="Times New Roman" w:cs="Times New Roman"/>
          <w:color w:val="171717" w:themeColor="background2" w:themeShade="1A"/>
          <w:sz w:val="24"/>
          <w:szCs w:val="24"/>
        </w:rPr>
        <w:t xml:space="preserve">The case concerned payment on </w:t>
      </w:r>
      <w:r w:rsidR="002B66CF" w:rsidRPr="00DE3C10">
        <w:rPr>
          <w:rFonts w:ascii="Times New Roman" w:hAnsi="Times New Roman" w:cs="Times New Roman"/>
          <w:color w:val="171717" w:themeColor="background2" w:themeShade="1A"/>
          <w:sz w:val="24"/>
          <w:szCs w:val="24"/>
        </w:rPr>
        <w:t xml:space="preserve">a </w:t>
      </w:r>
      <w:r w:rsidR="00F52F5E" w:rsidRPr="00DE3C10">
        <w:rPr>
          <w:rFonts w:ascii="Times New Roman" w:hAnsi="Times New Roman" w:cs="Times New Roman"/>
          <w:color w:val="171717" w:themeColor="background2" w:themeShade="1A"/>
          <w:sz w:val="24"/>
          <w:szCs w:val="24"/>
        </w:rPr>
        <w:t>contract of</w:t>
      </w:r>
      <w:r w:rsidR="00FE0A53" w:rsidRPr="00DE3C10">
        <w:rPr>
          <w:rFonts w:ascii="Times New Roman" w:hAnsi="Times New Roman" w:cs="Times New Roman"/>
          <w:color w:val="171717" w:themeColor="background2" w:themeShade="1A"/>
          <w:sz w:val="24"/>
          <w:szCs w:val="24"/>
        </w:rPr>
        <w:t xml:space="preserve"> freight forward, </w:t>
      </w:r>
      <w:r w:rsidR="00F52F5E" w:rsidRPr="00DE3C10">
        <w:rPr>
          <w:rFonts w:ascii="Times New Roman" w:hAnsi="Times New Roman" w:cs="Times New Roman"/>
          <w:color w:val="171717" w:themeColor="background2" w:themeShade="1A"/>
          <w:sz w:val="24"/>
          <w:szCs w:val="24"/>
        </w:rPr>
        <w:t xml:space="preserve">and the court compromised the </w:t>
      </w:r>
      <w:r w:rsidR="0026054E" w:rsidRPr="00DE3C10">
        <w:rPr>
          <w:rFonts w:ascii="Times New Roman" w:hAnsi="Times New Roman" w:cs="Times New Roman"/>
          <w:color w:val="171717" w:themeColor="background2" w:themeShade="1A"/>
          <w:sz w:val="24"/>
          <w:szCs w:val="24"/>
        </w:rPr>
        <w:t>agreement</w:t>
      </w:r>
      <w:r w:rsidR="00FE0A53" w:rsidRPr="00DE3C10">
        <w:rPr>
          <w:rFonts w:ascii="Times New Roman" w:hAnsi="Times New Roman" w:cs="Times New Roman"/>
          <w:color w:val="171717" w:themeColor="background2" w:themeShade="1A"/>
          <w:sz w:val="24"/>
          <w:szCs w:val="24"/>
        </w:rPr>
        <w:t xml:space="preserve">.  The court compromised the deal </w:t>
      </w:r>
      <w:r w:rsidR="0026054E" w:rsidRPr="00DE3C10">
        <w:rPr>
          <w:rFonts w:ascii="Times New Roman" w:hAnsi="Times New Roman" w:cs="Times New Roman"/>
          <w:color w:val="171717" w:themeColor="background2" w:themeShade="1A"/>
          <w:sz w:val="24"/>
          <w:szCs w:val="24"/>
        </w:rPr>
        <w:t xml:space="preserve">after admitting the use of pre-contractual bargains to </w:t>
      </w:r>
      <w:r w:rsidR="00582CE4" w:rsidRPr="00DE3C10">
        <w:rPr>
          <w:rFonts w:ascii="Times New Roman" w:hAnsi="Times New Roman" w:cs="Times New Roman"/>
          <w:color w:val="171717" w:themeColor="background2" w:themeShade="1A"/>
          <w:sz w:val="24"/>
          <w:szCs w:val="24"/>
        </w:rPr>
        <w:t>establish wh</w:t>
      </w:r>
      <w:r w:rsidR="00F85F4F" w:rsidRPr="00DE3C10">
        <w:rPr>
          <w:rFonts w:ascii="Times New Roman" w:hAnsi="Times New Roman" w:cs="Times New Roman"/>
          <w:color w:val="171717" w:themeColor="background2" w:themeShade="1A"/>
          <w:sz w:val="24"/>
          <w:szCs w:val="24"/>
        </w:rPr>
        <w:t xml:space="preserve">ether the parties were aware of </w:t>
      </w:r>
      <w:r w:rsidR="00582CE4" w:rsidRPr="00DE3C10">
        <w:rPr>
          <w:rFonts w:ascii="Times New Roman" w:hAnsi="Times New Roman" w:cs="Times New Roman"/>
          <w:color w:val="171717" w:themeColor="background2" w:themeShade="1A"/>
          <w:sz w:val="24"/>
          <w:szCs w:val="24"/>
        </w:rPr>
        <w:t>the facts of the contract.</w:t>
      </w:r>
      <w:r w:rsidR="00A55EA5">
        <w:rPr>
          <w:rStyle w:val="af1"/>
          <w:rFonts w:ascii="Times New Roman" w:hAnsi="Times New Roman" w:cs="Times New Roman"/>
          <w:color w:val="171717" w:themeColor="background2" w:themeShade="1A"/>
          <w:sz w:val="24"/>
          <w:szCs w:val="24"/>
        </w:rPr>
        <w:footnoteReference w:id="7"/>
      </w:r>
      <w:r w:rsidR="00F85F4F" w:rsidRPr="00DE3C10">
        <w:rPr>
          <w:rFonts w:ascii="Times New Roman" w:hAnsi="Times New Roman" w:cs="Times New Roman"/>
          <w:color w:val="171717" w:themeColor="background2" w:themeShade="1A"/>
          <w:sz w:val="24"/>
          <w:szCs w:val="24"/>
        </w:rPr>
        <w:t xml:space="preserve"> Hence the</w:t>
      </w:r>
      <w:r w:rsidR="002C60EB" w:rsidRPr="00DE3C10">
        <w:rPr>
          <w:rFonts w:ascii="Times New Roman" w:hAnsi="Times New Roman" w:cs="Times New Roman"/>
          <w:color w:val="171717" w:themeColor="background2" w:themeShade="1A"/>
          <w:sz w:val="24"/>
          <w:szCs w:val="24"/>
        </w:rPr>
        <w:t xml:space="preserve"> judges abolished the</w:t>
      </w:r>
      <w:r w:rsidR="00F85F4F" w:rsidRPr="00DE3C10">
        <w:rPr>
          <w:rFonts w:ascii="Times New Roman" w:hAnsi="Times New Roman" w:cs="Times New Roman"/>
          <w:color w:val="171717" w:themeColor="background2" w:themeShade="1A"/>
          <w:sz w:val="24"/>
          <w:szCs w:val="24"/>
        </w:rPr>
        <w:t xml:space="preserve"> </w:t>
      </w:r>
      <w:r w:rsidR="002C60EB" w:rsidRPr="00DE3C10">
        <w:rPr>
          <w:rFonts w:ascii="Times New Roman" w:hAnsi="Times New Roman" w:cs="Times New Roman"/>
          <w:color w:val="171717" w:themeColor="background2" w:themeShade="1A"/>
          <w:sz w:val="24"/>
          <w:szCs w:val="24"/>
        </w:rPr>
        <w:t xml:space="preserve">law that excluded the use of pre-contractual deals </w:t>
      </w:r>
      <w:r w:rsidR="00E4270B" w:rsidRPr="00DE3C10">
        <w:rPr>
          <w:rFonts w:ascii="Times New Roman" w:hAnsi="Times New Roman" w:cs="Times New Roman"/>
          <w:color w:val="171717" w:themeColor="background2" w:themeShade="1A"/>
          <w:sz w:val="24"/>
          <w:szCs w:val="24"/>
        </w:rPr>
        <w:t xml:space="preserve">to assist in </w:t>
      </w:r>
      <w:r w:rsidR="00AC64C7" w:rsidRPr="00DE3C10">
        <w:rPr>
          <w:rFonts w:ascii="Times New Roman" w:hAnsi="Times New Roman" w:cs="Times New Roman"/>
          <w:color w:val="171717" w:themeColor="background2" w:themeShade="1A"/>
          <w:sz w:val="24"/>
          <w:szCs w:val="24"/>
        </w:rPr>
        <w:t>determining the meaning of a contract in courts.</w:t>
      </w:r>
      <w:r w:rsidR="002E4682">
        <w:rPr>
          <w:rFonts w:ascii="Times New Roman" w:hAnsi="Times New Roman" w:cs="Times New Roman"/>
          <w:color w:val="171717" w:themeColor="background2" w:themeShade="1A"/>
          <w:sz w:val="24"/>
          <w:szCs w:val="24"/>
        </w:rPr>
        <w:t xml:space="preserve"> </w:t>
      </w:r>
      <w:r w:rsidRPr="00DE3C10">
        <w:rPr>
          <w:rFonts w:ascii="Times New Roman" w:hAnsi="Times New Roman" w:cs="Times New Roman"/>
          <w:color w:val="171717" w:themeColor="background2" w:themeShade="1A"/>
          <w:sz w:val="24"/>
          <w:szCs w:val="24"/>
        </w:rPr>
        <w:t xml:space="preserve">Furthermore, Lord Hoffmann corrected his statement in the third principle by stating that the exclusionary law did not </w:t>
      </w:r>
      <w:r w:rsidR="002129A9" w:rsidRPr="00DE3C10">
        <w:rPr>
          <w:rFonts w:ascii="Times New Roman" w:hAnsi="Times New Roman" w:cs="Times New Roman"/>
          <w:color w:val="171717" w:themeColor="background2" w:themeShade="1A"/>
          <w:sz w:val="24"/>
          <w:szCs w:val="24"/>
        </w:rPr>
        <w:t>apply to other cases. More specifically, circumstances that necessitated the use of pre-contractual bargains</w:t>
      </w:r>
      <w:r w:rsidR="004A19AA" w:rsidRPr="00DE3C10">
        <w:rPr>
          <w:rFonts w:ascii="Times New Roman" w:hAnsi="Times New Roman" w:cs="Times New Roman"/>
          <w:color w:val="171717" w:themeColor="background2" w:themeShade="1A"/>
          <w:sz w:val="24"/>
          <w:szCs w:val="24"/>
        </w:rPr>
        <w:t xml:space="preserve"> to establish </w:t>
      </w:r>
      <w:r w:rsidR="00377498" w:rsidRPr="00DE3C10">
        <w:rPr>
          <w:rFonts w:ascii="Times New Roman" w:hAnsi="Times New Roman" w:cs="Times New Roman"/>
          <w:color w:val="171717" w:themeColor="background2" w:themeShade="1A"/>
          <w:sz w:val="24"/>
          <w:szCs w:val="24"/>
        </w:rPr>
        <w:t>whether the contracting parties were knowledg</w:t>
      </w:r>
      <w:r w:rsidR="001876C4" w:rsidRPr="00DE3C10">
        <w:rPr>
          <w:rFonts w:ascii="Times New Roman" w:hAnsi="Times New Roman" w:cs="Times New Roman"/>
          <w:color w:val="171717" w:themeColor="background2" w:themeShade="1A"/>
          <w:sz w:val="24"/>
          <w:szCs w:val="24"/>
        </w:rPr>
        <w:t>eable of the essential facts, in case</w:t>
      </w:r>
      <w:r w:rsidR="00795A3A" w:rsidRPr="00DE3C10">
        <w:rPr>
          <w:rFonts w:ascii="Times New Roman" w:hAnsi="Times New Roman" w:cs="Times New Roman"/>
          <w:color w:val="171717" w:themeColor="background2" w:themeShade="1A"/>
          <w:sz w:val="24"/>
          <w:szCs w:val="24"/>
        </w:rPr>
        <w:t xml:space="preserve"> of</w:t>
      </w:r>
      <w:r w:rsidR="00284C83" w:rsidRPr="00DE3C10">
        <w:rPr>
          <w:rFonts w:ascii="Times New Roman" w:hAnsi="Times New Roman" w:cs="Times New Roman"/>
          <w:color w:val="171717" w:themeColor="background2" w:themeShade="1A"/>
          <w:sz w:val="24"/>
          <w:szCs w:val="24"/>
        </w:rPr>
        <w:t xml:space="preserve"> rectification of contact</w:t>
      </w:r>
      <w:r w:rsidR="0010387B" w:rsidRPr="00DE3C10">
        <w:rPr>
          <w:rFonts w:ascii="Times New Roman" w:hAnsi="Times New Roman" w:cs="Times New Roman"/>
          <w:color w:val="171717" w:themeColor="background2" w:themeShade="1A"/>
          <w:sz w:val="24"/>
          <w:szCs w:val="24"/>
        </w:rPr>
        <w:t>,</w:t>
      </w:r>
      <w:r w:rsidR="00377498" w:rsidRPr="00DE3C10">
        <w:rPr>
          <w:rFonts w:ascii="Times New Roman" w:hAnsi="Times New Roman" w:cs="Times New Roman"/>
          <w:color w:val="171717" w:themeColor="background2" w:themeShade="1A"/>
          <w:sz w:val="24"/>
          <w:szCs w:val="24"/>
        </w:rPr>
        <w:t xml:space="preserve"> and for enforcing esto</w:t>
      </w:r>
      <w:r w:rsidR="00EC020D" w:rsidRPr="00DE3C10">
        <w:rPr>
          <w:rFonts w:ascii="Times New Roman" w:hAnsi="Times New Roman" w:cs="Times New Roman"/>
          <w:color w:val="171717" w:themeColor="background2" w:themeShade="1A"/>
          <w:sz w:val="24"/>
          <w:szCs w:val="24"/>
        </w:rPr>
        <w:t>ppel to</w:t>
      </w:r>
      <w:r w:rsidR="00377498" w:rsidRPr="00DE3C10">
        <w:rPr>
          <w:rFonts w:ascii="Times New Roman" w:hAnsi="Times New Roman" w:cs="Times New Roman"/>
          <w:color w:val="171717" w:themeColor="background2" w:themeShade="1A"/>
          <w:sz w:val="24"/>
          <w:szCs w:val="24"/>
        </w:rPr>
        <w:t xml:space="preserve"> the </w:t>
      </w:r>
      <w:r w:rsidR="00EC020D" w:rsidRPr="00DE3C10">
        <w:rPr>
          <w:rFonts w:ascii="Times New Roman" w:hAnsi="Times New Roman" w:cs="Times New Roman"/>
          <w:color w:val="171717" w:themeColor="background2" w:themeShade="1A"/>
          <w:sz w:val="24"/>
          <w:szCs w:val="24"/>
        </w:rPr>
        <w:t xml:space="preserve">contracting </w:t>
      </w:r>
      <w:r w:rsidR="00377498" w:rsidRPr="00DE3C10">
        <w:rPr>
          <w:rFonts w:ascii="Times New Roman" w:hAnsi="Times New Roman" w:cs="Times New Roman"/>
          <w:color w:val="171717" w:themeColor="background2" w:themeShade="1A"/>
          <w:sz w:val="24"/>
          <w:szCs w:val="24"/>
        </w:rPr>
        <w:t>parties during a court hearing.</w:t>
      </w:r>
      <w:r w:rsidR="007228EE" w:rsidRPr="00DE3C10">
        <w:rPr>
          <w:rFonts w:ascii="Times New Roman" w:hAnsi="Times New Roman" w:cs="Times New Roman"/>
          <w:color w:val="171717" w:themeColor="background2" w:themeShade="1A"/>
          <w:sz w:val="24"/>
          <w:szCs w:val="24"/>
        </w:rPr>
        <w:t xml:space="preserve"> </w:t>
      </w:r>
    </w:p>
    <w:p w14:paraId="33AD74A1" w14:textId="03372E18" w:rsidR="00093EE9" w:rsidRPr="00DE3C10" w:rsidRDefault="00FD5493" w:rsidP="00C71A69">
      <w:pPr>
        <w:spacing w:line="480" w:lineRule="auto"/>
        <w:jc w:val="both"/>
        <w:rPr>
          <w:rFonts w:ascii="Times New Roman" w:hAnsi="Times New Roman" w:cs="Times New Roman"/>
          <w:color w:val="171717" w:themeColor="background2" w:themeShade="1A"/>
          <w:sz w:val="24"/>
          <w:szCs w:val="24"/>
        </w:rPr>
      </w:pPr>
      <w:r w:rsidRPr="00DE3C10">
        <w:rPr>
          <w:rFonts w:ascii="Times New Roman" w:hAnsi="Times New Roman" w:cs="Times New Roman"/>
          <w:color w:val="171717" w:themeColor="background2" w:themeShade="1A"/>
          <w:sz w:val="24"/>
          <w:szCs w:val="24"/>
        </w:rPr>
        <w:t xml:space="preserve">Faux J further changed the third principle in </w:t>
      </w:r>
      <w:r w:rsidRPr="00DE3C10">
        <w:rPr>
          <w:rFonts w:ascii="Times New Roman" w:hAnsi="Times New Roman" w:cs="Times New Roman"/>
          <w:i/>
          <w:color w:val="171717" w:themeColor="background2" w:themeShade="1A"/>
          <w:sz w:val="24"/>
          <w:szCs w:val="24"/>
        </w:rPr>
        <w:t>Excelsior Group Prod</w:t>
      </w:r>
      <w:r w:rsidR="00FA49CC" w:rsidRPr="00DE3C10">
        <w:rPr>
          <w:rFonts w:ascii="Times New Roman" w:hAnsi="Times New Roman" w:cs="Times New Roman"/>
          <w:i/>
          <w:color w:val="171717" w:themeColor="background2" w:themeShade="1A"/>
          <w:sz w:val="24"/>
          <w:szCs w:val="24"/>
        </w:rPr>
        <w:t>uction Limited v Television Ltd</w:t>
      </w:r>
      <w:r w:rsidR="007C2207" w:rsidRPr="00DE3C10">
        <w:rPr>
          <w:rFonts w:ascii="Times New Roman" w:hAnsi="Times New Roman" w:cs="Times New Roman"/>
          <w:color w:val="171717" w:themeColor="background2" w:themeShade="1A"/>
          <w:sz w:val="24"/>
          <w:szCs w:val="24"/>
        </w:rPr>
        <w:t>.</w:t>
      </w:r>
      <w:r w:rsidR="00A55EA5">
        <w:rPr>
          <w:rStyle w:val="af1"/>
          <w:rFonts w:ascii="Times New Roman" w:hAnsi="Times New Roman" w:cs="Times New Roman"/>
          <w:color w:val="171717" w:themeColor="background2" w:themeShade="1A"/>
          <w:sz w:val="24"/>
          <w:szCs w:val="24"/>
        </w:rPr>
        <w:footnoteReference w:id="8"/>
      </w:r>
      <w:r w:rsidR="00892DB2" w:rsidRPr="00DE3C10">
        <w:rPr>
          <w:rFonts w:ascii="Times New Roman" w:hAnsi="Times New Roman" w:cs="Times New Roman"/>
          <w:color w:val="171717" w:themeColor="background2" w:themeShade="1A"/>
          <w:sz w:val="24"/>
          <w:szCs w:val="24"/>
        </w:rPr>
        <w:t xml:space="preserve"> He stated that</w:t>
      </w:r>
      <w:r w:rsidR="00082004" w:rsidRPr="00DE3C10">
        <w:rPr>
          <w:rFonts w:ascii="Times New Roman" w:hAnsi="Times New Roman" w:cs="Times New Roman"/>
          <w:color w:val="171717" w:themeColor="background2" w:themeShade="1A"/>
          <w:sz w:val="24"/>
          <w:szCs w:val="24"/>
        </w:rPr>
        <w:t xml:space="preserve"> </w:t>
      </w:r>
      <w:r w:rsidR="00192792" w:rsidRPr="00DE3C10">
        <w:rPr>
          <w:rFonts w:ascii="Times New Roman" w:hAnsi="Times New Roman" w:cs="Times New Roman"/>
          <w:color w:val="171717" w:themeColor="background2" w:themeShade="1A"/>
          <w:sz w:val="24"/>
          <w:szCs w:val="24"/>
        </w:rPr>
        <w:t xml:space="preserve">only </w:t>
      </w:r>
      <w:r w:rsidR="0010387B" w:rsidRPr="00DE3C10">
        <w:rPr>
          <w:rFonts w:ascii="Times New Roman" w:hAnsi="Times New Roman" w:cs="Times New Roman"/>
          <w:color w:val="171717" w:themeColor="background2" w:themeShade="1A"/>
          <w:sz w:val="24"/>
          <w:szCs w:val="24"/>
        </w:rPr>
        <w:t>verifiable facts that are</w:t>
      </w:r>
      <w:r w:rsidR="00A55EA5">
        <w:rPr>
          <w:rFonts w:ascii="Times New Roman" w:hAnsi="Times New Roman" w:cs="Times New Roman"/>
          <w:color w:val="171717" w:themeColor="background2" w:themeShade="1A"/>
          <w:sz w:val="24"/>
          <w:szCs w:val="24"/>
        </w:rPr>
        <w:t xml:space="preserve"> known to</w:t>
      </w:r>
      <w:r w:rsidR="00892DB2" w:rsidRPr="00DE3C10">
        <w:rPr>
          <w:rFonts w:ascii="Times New Roman" w:hAnsi="Times New Roman" w:cs="Times New Roman"/>
          <w:color w:val="171717" w:themeColor="background2" w:themeShade="1A"/>
          <w:sz w:val="24"/>
          <w:szCs w:val="24"/>
        </w:rPr>
        <w:t xml:space="preserve"> both parties</w:t>
      </w:r>
      <w:r w:rsidR="00192792" w:rsidRPr="00DE3C10">
        <w:rPr>
          <w:rFonts w:ascii="Times New Roman" w:hAnsi="Times New Roman" w:cs="Times New Roman"/>
          <w:color w:val="171717" w:themeColor="background2" w:themeShade="1A"/>
          <w:sz w:val="24"/>
          <w:szCs w:val="24"/>
        </w:rPr>
        <w:t xml:space="preserve"> in court</w:t>
      </w:r>
      <w:r w:rsidR="00892DB2" w:rsidRPr="00DE3C10">
        <w:rPr>
          <w:rFonts w:ascii="Times New Roman" w:hAnsi="Times New Roman" w:cs="Times New Roman"/>
          <w:color w:val="171717" w:themeColor="background2" w:themeShade="1A"/>
          <w:sz w:val="24"/>
          <w:szCs w:val="24"/>
        </w:rPr>
        <w:t xml:space="preserve"> were </w:t>
      </w:r>
      <w:r w:rsidR="00942EF1" w:rsidRPr="00DE3C10">
        <w:rPr>
          <w:rFonts w:ascii="Times New Roman" w:hAnsi="Times New Roman" w:cs="Times New Roman"/>
          <w:color w:val="171717" w:themeColor="background2" w:themeShade="1A"/>
          <w:sz w:val="24"/>
          <w:szCs w:val="24"/>
        </w:rPr>
        <w:t>admissible</w:t>
      </w:r>
      <w:r w:rsidR="0010387B" w:rsidRPr="00DE3C10">
        <w:rPr>
          <w:rFonts w:ascii="Times New Roman" w:hAnsi="Times New Roman" w:cs="Times New Roman"/>
          <w:color w:val="171717" w:themeColor="background2" w:themeShade="1A"/>
          <w:sz w:val="24"/>
          <w:szCs w:val="24"/>
        </w:rPr>
        <w:t>,</w:t>
      </w:r>
      <w:r w:rsidR="00942EF1" w:rsidRPr="00DE3C10">
        <w:rPr>
          <w:rFonts w:ascii="Times New Roman" w:hAnsi="Times New Roman" w:cs="Times New Roman"/>
          <w:color w:val="171717" w:themeColor="background2" w:themeShade="1A"/>
          <w:sz w:val="24"/>
          <w:szCs w:val="24"/>
        </w:rPr>
        <w:t xml:space="preserve"> not a recollection of the pre-contractual bargains.</w:t>
      </w:r>
      <w:r w:rsidR="00B240EC">
        <w:rPr>
          <w:rFonts w:ascii="Times New Roman" w:hAnsi="Times New Roman" w:cs="Times New Roman"/>
          <w:color w:val="171717" w:themeColor="background2" w:themeShade="1A"/>
          <w:sz w:val="24"/>
          <w:szCs w:val="24"/>
        </w:rPr>
        <w:t xml:space="preserve"> </w:t>
      </w:r>
      <w:r w:rsidR="00AA5C10" w:rsidRPr="00DE3C10">
        <w:rPr>
          <w:rFonts w:ascii="Times New Roman" w:hAnsi="Times New Roman" w:cs="Times New Roman"/>
          <w:color w:val="171717" w:themeColor="background2" w:themeShade="1A"/>
          <w:sz w:val="24"/>
          <w:szCs w:val="24"/>
        </w:rPr>
        <w:t>Additionally,</w:t>
      </w:r>
      <w:r w:rsidR="00F04969" w:rsidRPr="00DE3C10">
        <w:rPr>
          <w:rFonts w:ascii="Times New Roman" w:hAnsi="Times New Roman" w:cs="Times New Roman"/>
          <w:color w:val="171717" w:themeColor="background2" w:themeShade="1A"/>
          <w:sz w:val="24"/>
          <w:szCs w:val="24"/>
        </w:rPr>
        <w:t xml:space="preserve"> </w:t>
      </w:r>
      <w:r w:rsidR="00E20109" w:rsidRPr="00DE3C10">
        <w:rPr>
          <w:rFonts w:ascii="Times New Roman" w:hAnsi="Times New Roman" w:cs="Times New Roman"/>
          <w:color w:val="171717" w:themeColor="background2" w:themeShade="1A"/>
          <w:sz w:val="24"/>
          <w:szCs w:val="24"/>
        </w:rPr>
        <w:t xml:space="preserve">Kerr </w:t>
      </w:r>
      <w:r w:rsidR="00AA5C10" w:rsidRPr="00DE3C10">
        <w:rPr>
          <w:rFonts w:ascii="Times New Roman" w:hAnsi="Times New Roman" w:cs="Times New Roman"/>
          <w:color w:val="171717" w:themeColor="background2" w:themeShade="1A"/>
          <w:sz w:val="24"/>
          <w:szCs w:val="24"/>
        </w:rPr>
        <w:t>cha</w:t>
      </w:r>
      <w:r w:rsidR="003F2CE1" w:rsidRPr="00DE3C10">
        <w:rPr>
          <w:rFonts w:ascii="Times New Roman" w:hAnsi="Times New Roman" w:cs="Times New Roman"/>
          <w:color w:val="171717" w:themeColor="background2" w:themeShade="1A"/>
          <w:sz w:val="24"/>
          <w:szCs w:val="24"/>
        </w:rPr>
        <w:t>nged</w:t>
      </w:r>
      <w:r w:rsidR="00707781" w:rsidRPr="00DE3C10">
        <w:rPr>
          <w:rFonts w:ascii="Times New Roman" w:hAnsi="Times New Roman" w:cs="Times New Roman"/>
          <w:color w:val="171717" w:themeColor="background2" w:themeShade="1A"/>
          <w:sz w:val="24"/>
          <w:szCs w:val="24"/>
        </w:rPr>
        <w:t xml:space="preserve"> the fourth principle </w:t>
      </w:r>
      <w:r w:rsidR="00A07CC9" w:rsidRPr="00DE3C10">
        <w:rPr>
          <w:rFonts w:ascii="Times New Roman" w:hAnsi="Times New Roman" w:cs="Times New Roman"/>
          <w:color w:val="171717" w:themeColor="background2" w:themeShade="1A"/>
          <w:sz w:val="24"/>
          <w:szCs w:val="24"/>
        </w:rPr>
        <w:t xml:space="preserve">during the case of </w:t>
      </w:r>
      <w:r w:rsidR="00A07CC9" w:rsidRPr="00DE3C10">
        <w:rPr>
          <w:rFonts w:ascii="Times New Roman" w:hAnsi="Times New Roman" w:cs="Times New Roman"/>
          <w:i/>
          <w:color w:val="171717" w:themeColor="background2" w:themeShade="1A"/>
          <w:sz w:val="24"/>
          <w:szCs w:val="24"/>
        </w:rPr>
        <w:t>Karen Oltmann v</w:t>
      </w:r>
      <w:r w:rsidR="00707781" w:rsidRPr="00DE3C10">
        <w:rPr>
          <w:rFonts w:ascii="Times New Roman" w:hAnsi="Times New Roman" w:cs="Times New Roman"/>
          <w:i/>
          <w:color w:val="171717" w:themeColor="background2" w:themeShade="1A"/>
          <w:sz w:val="24"/>
          <w:szCs w:val="24"/>
        </w:rPr>
        <w:t xml:space="preserve"> </w:t>
      </w:r>
      <w:proofErr w:type="spellStart"/>
      <w:r w:rsidR="00A07CC9" w:rsidRPr="00DE3C10">
        <w:rPr>
          <w:rFonts w:ascii="Times New Roman" w:hAnsi="Times New Roman" w:cs="Times New Roman"/>
          <w:i/>
          <w:color w:val="171717" w:themeColor="background2" w:themeShade="1A"/>
          <w:sz w:val="24"/>
          <w:szCs w:val="24"/>
        </w:rPr>
        <w:t>Sausdale</w:t>
      </w:r>
      <w:proofErr w:type="spellEnd"/>
      <w:r w:rsidR="00A07CC9" w:rsidRPr="00DE3C10">
        <w:rPr>
          <w:rFonts w:ascii="Times New Roman" w:hAnsi="Times New Roman" w:cs="Times New Roman"/>
          <w:i/>
          <w:color w:val="171717" w:themeColor="background2" w:themeShade="1A"/>
          <w:sz w:val="24"/>
          <w:szCs w:val="24"/>
        </w:rPr>
        <w:t xml:space="preserve"> Shipping Co Ltd.</w:t>
      </w:r>
      <w:r w:rsidR="002E4682">
        <w:rPr>
          <w:rFonts w:ascii="Times New Roman" w:hAnsi="Times New Roman" w:cs="Times New Roman"/>
          <w:i/>
          <w:color w:val="171717" w:themeColor="background2" w:themeShade="1A"/>
          <w:sz w:val="24"/>
          <w:szCs w:val="24"/>
        </w:rPr>
        <w:t>,</w:t>
      </w:r>
      <w:r w:rsidR="002E4682" w:rsidRPr="002E4682">
        <w:rPr>
          <w:rStyle w:val="af1"/>
          <w:rFonts w:ascii="Times New Roman" w:hAnsi="Times New Roman" w:cs="Times New Roman"/>
          <w:color w:val="171717" w:themeColor="background2" w:themeShade="1A"/>
          <w:sz w:val="24"/>
          <w:szCs w:val="24"/>
        </w:rPr>
        <w:footnoteReference w:id="9"/>
      </w:r>
      <w:r w:rsidR="00A07CC9" w:rsidRPr="00DE3C10">
        <w:rPr>
          <w:rFonts w:ascii="Times New Roman" w:hAnsi="Times New Roman" w:cs="Times New Roman"/>
          <w:color w:val="171717" w:themeColor="background2" w:themeShade="1A"/>
          <w:sz w:val="24"/>
          <w:szCs w:val="24"/>
        </w:rPr>
        <w:t xml:space="preserve"> </w:t>
      </w:r>
      <w:r w:rsidR="000A12B4" w:rsidRPr="00DE3C10">
        <w:rPr>
          <w:rFonts w:ascii="Times New Roman" w:hAnsi="Times New Roman" w:cs="Times New Roman"/>
          <w:color w:val="171717" w:themeColor="background2" w:themeShade="1A"/>
          <w:sz w:val="24"/>
          <w:szCs w:val="24"/>
        </w:rPr>
        <w:t xml:space="preserve">where the words in the contact had </w:t>
      </w:r>
      <w:r w:rsidR="00E16A4A" w:rsidRPr="00DE3C10">
        <w:rPr>
          <w:rFonts w:ascii="Times New Roman" w:hAnsi="Times New Roman" w:cs="Times New Roman"/>
          <w:color w:val="171717" w:themeColor="background2" w:themeShade="1A"/>
          <w:sz w:val="24"/>
          <w:szCs w:val="24"/>
        </w:rPr>
        <w:t xml:space="preserve">many </w:t>
      </w:r>
      <w:r w:rsidR="000A12B4" w:rsidRPr="00DE3C10">
        <w:rPr>
          <w:rFonts w:ascii="Times New Roman" w:hAnsi="Times New Roman" w:cs="Times New Roman"/>
          <w:color w:val="171717" w:themeColor="background2" w:themeShade="1A"/>
          <w:sz w:val="24"/>
          <w:szCs w:val="24"/>
        </w:rPr>
        <w:t>meaning</w:t>
      </w:r>
      <w:r w:rsidR="00E16A4A" w:rsidRPr="00DE3C10">
        <w:rPr>
          <w:rFonts w:ascii="Times New Roman" w:hAnsi="Times New Roman" w:cs="Times New Roman"/>
          <w:color w:val="171717" w:themeColor="background2" w:themeShade="1A"/>
          <w:sz w:val="24"/>
          <w:szCs w:val="24"/>
        </w:rPr>
        <w:t>s</w:t>
      </w:r>
      <w:r w:rsidR="000A12B4" w:rsidRPr="00DE3C10">
        <w:rPr>
          <w:rFonts w:ascii="Times New Roman" w:hAnsi="Times New Roman" w:cs="Times New Roman"/>
          <w:color w:val="171717" w:themeColor="background2" w:themeShade="1A"/>
          <w:sz w:val="24"/>
          <w:szCs w:val="24"/>
        </w:rPr>
        <w:t>.</w:t>
      </w:r>
      <w:r w:rsidR="00FE4AA0" w:rsidRPr="00DE3C10">
        <w:rPr>
          <w:rFonts w:ascii="Times New Roman" w:hAnsi="Times New Roman" w:cs="Times New Roman"/>
          <w:color w:val="171717" w:themeColor="background2" w:themeShade="1A"/>
          <w:sz w:val="24"/>
          <w:szCs w:val="24"/>
        </w:rPr>
        <w:t xml:space="preserve"> The jury admitted the use of valid evidence</w:t>
      </w:r>
      <w:r w:rsidR="00F327BB" w:rsidRPr="00DE3C10">
        <w:rPr>
          <w:rFonts w:ascii="Times New Roman" w:hAnsi="Times New Roman" w:cs="Times New Roman"/>
          <w:color w:val="171717" w:themeColor="background2" w:themeShade="1A"/>
          <w:sz w:val="24"/>
          <w:szCs w:val="24"/>
        </w:rPr>
        <w:t xml:space="preserve"> that both parties agreed on a particular purpose to a </w:t>
      </w:r>
      <w:r w:rsidR="004F15EE" w:rsidRPr="00DE3C10">
        <w:rPr>
          <w:rFonts w:ascii="Times New Roman" w:hAnsi="Times New Roman" w:cs="Times New Roman"/>
          <w:color w:val="171717" w:themeColor="background2" w:themeShade="1A"/>
          <w:sz w:val="24"/>
          <w:szCs w:val="24"/>
        </w:rPr>
        <w:t>concept</w:t>
      </w:r>
      <w:r w:rsidR="00F327BB" w:rsidRPr="00DE3C10">
        <w:rPr>
          <w:rFonts w:ascii="Times New Roman" w:hAnsi="Times New Roman" w:cs="Times New Roman"/>
          <w:color w:val="171717" w:themeColor="background2" w:themeShade="1A"/>
          <w:sz w:val="24"/>
          <w:szCs w:val="24"/>
        </w:rPr>
        <w:t xml:space="preserve"> that had more than one </w:t>
      </w:r>
      <w:r w:rsidR="00FE4AA0" w:rsidRPr="00DE3C10">
        <w:rPr>
          <w:rFonts w:ascii="Times New Roman" w:hAnsi="Times New Roman" w:cs="Times New Roman"/>
          <w:color w:val="171717" w:themeColor="background2" w:themeShade="1A"/>
          <w:sz w:val="24"/>
          <w:szCs w:val="24"/>
        </w:rPr>
        <w:t xml:space="preserve">sense </w:t>
      </w:r>
      <w:r w:rsidR="00223643" w:rsidRPr="00DE3C10">
        <w:rPr>
          <w:rFonts w:ascii="Times New Roman" w:hAnsi="Times New Roman" w:cs="Times New Roman"/>
          <w:color w:val="171717" w:themeColor="background2" w:themeShade="1A"/>
          <w:sz w:val="24"/>
          <w:szCs w:val="24"/>
        </w:rPr>
        <w:t xml:space="preserve">to establishing estoppel </w:t>
      </w:r>
      <w:r w:rsidR="00F327BB" w:rsidRPr="00DE3C10">
        <w:rPr>
          <w:rFonts w:ascii="Times New Roman" w:hAnsi="Times New Roman" w:cs="Times New Roman"/>
          <w:color w:val="171717" w:themeColor="background2" w:themeShade="1A"/>
          <w:sz w:val="24"/>
          <w:szCs w:val="24"/>
        </w:rPr>
        <w:t>and not special meaning.</w:t>
      </w:r>
      <w:r w:rsidR="004842FB" w:rsidRPr="00DE3C10">
        <w:rPr>
          <w:rFonts w:ascii="Times New Roman" w:hAnsi="Times New Roman" w:cs="Times New Roman"/>
          <w:color w:val="171717" w:themeColor="background2" w:themeShade="1A"/>
          <w:sz w:val="24"/>
          <w:szCs w:val="24"/>
        </w:rPr>
        <w:t xml:space="preserve"> </w:t>
      </w:r>
      <w:r w:rsidR="003F4322" w:rsidRPr="00DE3C10">
        <w:rPr>
          <w:rFonts w:ascii="Times New Roman" w:hAnsi="Times New Roman" w:cs="Times New Roman"/>
          <w:color w:val="171717" w:themeColor="background2" w:themeShade="1A"/>
          <w:sz w:val="24"/>
          <w:szCs w:val="24"/>
        </w:rPr>
        <w:t xml:space="preserve">On the other hand, the jury changed the fifth principle </w:t>
      </w:r>
      <w:r w:rsidR="004842FB" w:rsidRPr="00DE3C10">
        <w:rPr>
          <w:rFonts w:ascii="Times New Roman" w:hAnsi="Times New Roman" w:cs="Times New Roman"/>
          <w:color w:val="171717" w:themeColor="background2" w:themeShade="1A"/>
          <w:sz w:val="24"/>
          <w:szCs w:val="24"/>
        </w:rPr>
        <w:t xml:space="preserve">after the case of </w:t>
      </w:r>
      <w:r w:rsidR="004842FB" w:rsidRPr="00DE3C10">
        <w:rPr>
          <w:rFonts w:ascii="Times New Roman" w:hAnsi="Times New Roman" w:cs="Times New Roman"/>
          <w:i/>
          <w:color w:val="171717" w:themeColor="background2" w:themeShade="1A"/>
          <w:sz w:val="24"/>
          <w:szCs w:val="24"/>
        </w:rPr>
        <w:t>East v Pantiles Plant Hire Limited</w:t>
      </w:r>
      <w:r w:rsidR="003F4322" w:rsidRPr="00DE3C10">
        <w:rPr>
          <w:rFonts w:ascii="Times New Roman" w:hAnsi="Times New Roman" w:cs="Times New Roman"/>
          <w:color w:val="171717" w:themeColor="background2" w:themeShade="1A"/>
          <w:sz w:val="24"/>
          <w:szCs w:val="24"/>
        </w:rPr>
        <w:t>.</w:t>
      </w:r>
      <w:r w:rsidR="002E4682">
        <w:rPr>
          <w:rStyle w:val="af1"/>
          <w:rFonts w:ascii="Times New Roman" w:hAnsi="Times New Roman" w:cs="Times New Roman"/>
          <w:color w:val="171717" w:themeColor="background2" w:themeShade="1A"/>
          <w:sz w:val="24"/>
          <w:szCs w:val="24"/>
        </w:rPr>
        <w:footnoteReference w:id="10"/>
      </w:r>
      <w:r w:rsidR="000C2088" w:rsidRPr="00DE3C10">
        <w:rPr>
          <w:rFonts w:ascii="Times New Roman" w:hAnsi="Times New Roman" w:cs="Times New Roman"/>
          <w:color w:val="171717" w:themeColor="background2" w:themeShade="1A"/>
          <w:sz w:val="24"/>
          <w:szCs w:val="24"/>
        </w:rPr>
        <w:t xml:space="preserve"> The fifth</w:t>
      </w:r>
      <w:r w:rsidR="00984A48" w:rsidRPr="00DE3C10">
        <w:rPr>
          <w:rFonts w:ascii="Times New Roman" w:hAnsi="Times New Roman" w:cs="Times New Roman"/>
          <w:color w:val="171717" w:themeColor="background2" w:themeShade="1A"/>
          <w:sz w:val="24"/>
          <w:szCs w:val="24"/>
        </w:rPr>
        <w:t xml:space="preserve"> principle, therefore, stated</w:t>
      </w:r>
      <w:r w:rsidR="004842FB" w:rsidRPr="00DE3C10">
        <w:rPr>
          <w:rFonts w:ascii="Times New Roman" w:hAnsi="Times New Roman" w:cs="Times New Roman"/>
          <w:color w:val="171717" w:themeColor="background2" w:themeShade="1A"/>
          <w:sz w:val="24"/>
          <w:szCs w:val="24"/>
        </w:rPr>
        <w:t xml:space="preserve"> that</w:t>
      </w:r>
      <w:r w:rsidR="00014EB9" w:rsidRPr="00DE3C10">
        <w:rPr>
          <w:rFonts w:ascii="Times New Roman" w:hAnsi="Times New Roman" w:cs="Times New Roman"/>
          <w:color w:val="171717" w:themeColor="background2" w:themeShade="1A"/>
          <w:sz w:val="24"/>
          <w:szCs w:val="24"/>
        </w:rPr>
        <w:t xml:space="preserve"> w</w:t>
      </w:r>
      <w:r w:rsidR="000C4439" w:rsidRPr="00DE3C10">
        <w:rPr>
          <w:rFonts w:ascii="Times New Roman" w:hAnsi="Times New Roman" w:cs="Times New Roman"/>
          <w:color w:val="171717" w:themeColor="background2" w:themeShade="1A"/>
          <w:sz w:val="24"/>
          <w:szCs w:val="24"/>
        </w:rPr>
        <w:t xml:space="preserve">henever words in a </w:t>
      </w:r>
      <w:proofErr w:type="gramStart"/>
      <w:r w:rsidR="000C4439" w:rsidRPr="00DE3C10">
        <w:rPr>
          <w:rFonts w:ascii="Times New Roman" w:hAnsi="Times New Roman" w:cs="Times New Roman"/>
          <w:color w:val="171717" w:themeColor="background2" w:themeShade="1A"/>
          <w:sz w:val="24"/>
          <w:szCs w:val="24"/>
        </w:rPr>
        <w:lastRenderedPageBreak/>
        <w:t>contract</w:t>
      </w:r>
      <w:proofErr w:type="gramEnd"/>
      <w:r w:rsidR="000C4439" w:rsidRPr="00DE3C10">
        <w:rPr>
          <w:rFonts w:ascii="Times New Roman" w:hAnsi="Times New Roman" w:cs="Times New Roman"/>
          <w:color w:val="171717" w:themeColor="background2" w:themeShade="1A"/>
          <w:sz w:val="24"/>
          <w:szCs w:val="24"/>
        </w:rPr>
        <w:t xml:space="preserve"> had </w:t>
      </w:r>
      <w:r w:rsidR="004F15EE" w:rsidRPr="00DE3C10">
        <w:rPr>
          <w:rFonts w:ascii="Times New Roman" w:hAnsi="Times New Roman" w:cs="Times New Roman"/>
          <w:color w:val="171717" w:themeColor="background2" w:themeShade="1A"/>
          <w:sz w:val="24"/>
          <w:szCs w:val="24"/>
        </w:rPr>
        <w:t>glaring</w:t>
      </w:r>
      <w:r w:rsidR="00014EB9" w:rsidRPr="00DE3C10">
        <w:rPr>
          <w:rFonts w:ascii="Times New Roman" w:hAnsi="Times New Roman" w:cs="Times New Roman"/>
          <w:color w:val="171717" w:themeColor="background2" w:themeShade="1A"/>
          <w:sz w:val="24"/>
          <w:szCs w:val="24"/>
        </w:rPr>
        <w:t xml:space="preserve"> syntactical errors</w:t>
      </w:r>
      <w:r w:rsidR="00DD0372" w:rsidRPr="00DE3C10">
        <w:rPr>
          <w:rFonts w:ascii="Times New Roman" w:hAnsi="Times New Roman" w:cs="Times New Roman"/>
          <w:color w:val="171717" w:themeColor="background2" w:themeShade="1A"/>
          <w:sz w:val="24"/>
          <w:szCs w:val="24"/>
        </w:rPr>
        <w:t xml:space="preserve">, the jury should use circumstances during the signing of the agreement to reconstruct the </w:t>
      </w:r>
      <w:r w:rsidR="00196E74" w:rsidRPr="00DE3C10">
        <w:rPr>
          <w:rFonts w:ascii="Times New Roman" w:hAnsi="Times New Roman" w:cs="Times New Roman"/>
          <w:color w:val="171717" w:themeColor="background2" w:themeShade="1A"/>
          <w:sz w:val="24"/>
          <w:szCs w:val="24"/>
        </w:rPr>
        <w:t xml:space="preserve">meaning of the </w:t>
      </w:r>
      <w:r w:rsidR="004B5173" w:rsidRPr="00DE3C10">
        <w:rPr>
          <w:rFonts w:ascii="Times New Roman" w:hAnsi="Times New Roman" w:cs="Times New Roman"/>
          <w:color w:val="171717" w:themeColor="background2" w:themeShade="1A"/>
          <w:sz w:val="24"/>
          <w:szCs w:val="24"/>
        </w:rPr>
        <w:t>words.</w:t>
      </w:r>
      <w:r w:rsidR="00DD0372" w:rsidRPr="00DE3C10">
        <w:rPr>
          <w:rFonts w:ascii="Times New Roman" w:hAnsi="Times New Roman" w:cs="Times New Roman"/>
          <w:color w:val="171717" w:themeColor="background2" w:themeShade="1A"/>
          <w:sz w:val="24"/>
          <w:szCs w:val="24"/>
        </w:rPr>
        <w:t xml:space="preserve"> </w:t>
      </w:r>
    </w:p>
    <w:p w14:paraId="44510129" w14:textId="7189EB51" w:rsidR="0005637D" w:rsidRDefault="00FD5493" w:rsidP="00C71A69">
      <w:pPr>
        <w:spacing w:line="480" w:lineRule="auto"/>
        <w:jc w:val="both"/>
        <w:rPr>
          <w:rFonts w:ascii="Times New Roman" w:hAnsi="Times New Roman" w:cs="Times New Roman"/>
          <w:color w:val="171717" w:themeColor="background2" w:themeShade="1A"/>
          <w:sz w:val="24"/>
          <w:szCs w:val="24"/>
        </w:rPr>
      </w:pPr>
      <w:r w:rsidRPr="00DE3C10">
        <w:rPr>
          <w:rFonts w:ascii="Times New Roman" w:hAnsi="Times New Roman" w:cs="Times New Roman"/>
          <w:color w:val="171717" w:themeColor="background2" w:themeShade="1A"/>
          <w:sz w:val="24"/>
          <w:szCs w:val="24"/>
        </w:rPr>
        <w:t xml:space="preserve">Furthermore, the case of </w:t>
      </w:r>
      <w:r w:rsidRPr="00DE3C10">
        <w:rPr>
          <w:rFonts w:ascii="Times New Roman" w:hAnsi="Times New Roman" w:cs="Times New Roman"/>
          <w:i/>
          <w:color w:val="171717" w:themeColor="background2" w:themeShade="1A"/>
          <w:sz w:val="24"/>
          <w:szCs w:val="24"/>
        </w:rPr>
        <w:t xml:space="preserve">Swainland Builders Ltd. </w:t>
      </w:r>
      <w:r w:rsidR="008263F9" w:rsidRPr="00DE3C10">
        <w:rPr>
          <w:rFonts w:ascii="Times New Roman" w:hAnsi="Times New Roman" w:cs="Times New Roman"/>
          <w:i/>
          <w:color w:val="171717" w:themeColor="background2" w:themeShade="1A"/>
          <w:sz w:val="24"/>
          <w:szCs w:val="24"/>
        </w:rPr>
        <w:t>v</w:t>
      </w:r>
      <w:r w:rsidRPr="00DE3C10">
        <w:rPr>
          <w:rFonts w:ascii="Times New Roman" w:hAnsi="Times New Roman" w:cs="Times New Roman"/>
          <w:i/>
          <w:color w:val="171717" w:themeColor="background2" w:themeShade="1A"/>
          <w:sz w:val="24"/>
          <w:szCs w:val="24"/>
        </w:rPr>
        <w:t xml:space="preserve"> Freehold Properties Ltd</w:t>
      </w:r>
      <w:r w:rsidR="002E4682">
        <w:rPr>
          <w:rFonts w:ascii="Times New Roman" w:hAnsi="Times New Roman" w:cs="Times New Roman"/>
          <w:color w:val="171717" w:themeColor="background2" w:themeShade="1A"/>
          <w:sz w:val="24"/>
          <w:szCs w:val="24"/>
        </w:rPr>
        <w:t>.</w:t>
      </w:r>
      <w:r w:rsidR="002E4682">
        <w:rPr>
          <w:rStyle w:val="af1"/>
          <w:rFonts w:ascii="Times New Roman" w:hAnsi="Times New Roman" w:cs="Times New Roman"/>
          <w:color w:val="171717" w:themeColor="background2" w:themeShade="1A"/>
          <w:sz w:val="24"/>
          <w:szCs w:val="24"/>
        </w:rPr>
        <w:footnoteReference w:id="11"/>
      </w:r>
      <w:r w:rsidR="00CD074B" w:rsidRPr="00DE3C10">
        <w:rPr>
          <w:rFonts w:ascii="Times New Roman" w:hAnsi="Times New Roman" w:cs="Times New Roman"/>
          <w:color w:val="171717" w:themeColor="background2" w:themeShade="1A"/>
          <w:sz w:val="24"/>
          <w:szCs w:val="24"/>
        </w:rPr>
        <w:t xml:space="preserve"> led to the </w:t>
      </w:r>
      <w:r w:rsidR="00B673E7" w:rsidRPr="00DE3C10">
        <w:rPr>
          <w:rFonts w:ascii="Times New Roman" w:hAnsi="Times New Roman" w:cs="Times New Roman"/>
          <w:color w:val="171717" w:themeColor="background2" w:themeShade="1A"/>
          <w:sz w:val="24"/>
          <w:szCs w:val="24"/>
        </w:rPr>
        <w:t>inclusion</w:t>
      </w:r>
      <w:r w:rsidR="00CD074B" w:rsidRPr="00DE3C10">
        <w:rPr>
          <w:rFonts w:ascii="Times New Roman" w:hAnsi="Times New Roman" w:cs="Times New Roman"/>
          <w:color w:val="171717" w:themeColor="background2" w:themeShade="1A"/>
          <w:sz w:val="24"/>
          <w:szCs w:val="24"/>
        </w:rPr>
        <w:t xml:space="preserve"> of Peter Gibson LJ</w:t>
      </w:r>
      <w:r w:rsidR="001C5F2D" w:rsidRPr="00DE3C10">
        <w:rPr>
          <w:rFonts w:ascii="Times New Roman" w:hAnsi="Times New Roman" w:cs="Times New Roman"/>
          <w:color w:val="171717" w:themeColor="background2" w:themeShade="1A"/>
          <w:sz w:val="24"/>
          <w:szCs w:val="24"/>
        </w:rPr>
        <w:t xml:space="preserve"> requirements for the</w:t>
      </w:r>
      <w:r w:rsidR="00CD074B" w:rsidRPr="00DE3C10">
        <w:rPr>
          <w:rFonts w:ascii="Times New Roman" w:hAnsi="Times New Roman" w:cs="Times New Roman"/>
          <w:color w:val="171717" w:themeColor="background2" w:themeShade="1A"/>
          <w:sz w:val="24"/>
          <w:szCs w:val="24"/>
        </w:rPr>
        <w:t xml:space="preserve"> </w:t>
      </w:r>
      <w:r w:rsidR="00CC0F41" w:rsidRPr="00DE3C10">
        <w:rPr>
          <w:rFonts w:ascii="Times New Roman" w:hAnsi="Times New Roman" w:cs="Times New Roman"/>
          <w:color w:val="171717" w:themeColor="background2" w:themeShade="1A"/>
          <w:sz w:val="24"/>
          <w:szCs w:val="24"/>
        </w:rPr>
        <w:t>rectification</w:t>
      </w:r>
      <w:r w:rsidR="00054B9E" w:rsidRPr="00DE3C10">
        <w:rPr>
          <w:rFonts w:ascii="Times New Roman" w:hAnsi="Times New Roman" w:cs="Times New Roman"/>
          <w:color w:val="171717" w:themeColor="background2" w:themeShade="1A"/>
          <w:sz w:val="24"/>
          <w:szCs w:val="24"/>
        </w:rPr>
        <w:t xml:space="preserve"> of</w:t>
      </w:r>
      <w:r w:rsidR="001C5F2D" w:rsidRPr="00DE3C10">
        <w:rPr>
          <w:rFonts w:ascii="Times New Roman" w:hAnsi="Times New Roman" w:cs="Times New Roman"/>
          <w:color w:val="171717" w:themeColor="background2" w:themeShade="1A"/>
          <w:sz w:val="24"/>
          <w:szCs w:val="24"/>
        </w:rPr>
        <w:t xml:space="preserve"> contract</w:t>
      </w:r>
      <w:r w:rsidR="00CC0F41" w:rsidRPr="00DE3C10">
        <w:rPr>
          <w:rFonts w:ascii="Times New Roman" w:hAnsi="Times New Roman" w:cs="Times New Roman"/>
          <w:color w:val="171717" w:themeColor="background2" w:themeShade="1A"/>
          <w:sz w:val="24"/>
          <w:szCs w:val="24"/>
        </w:rPr>
        <w:t xml:space="preserve"> i</w:t>
      </w:r>
      <w:r w:rsidR="00CD074B" w:rsidRPr="00DE3C10">
        <w:rPr>
          <w:rFonts w:ascii="Times New Roman" w:hAnsi="Times New Roman" w:cs="Times New Roman"/>
          <w:color w:val="171717" w:themeColor="background2" w:themeShade="1A"/>
          <w:sz w:val="24"/>
          <w:szCs w:val="24"/>
        </w:rPr>
        <w:t>nto the fifth principle of commitment.</w:t>
      </w:r>
      <w:r w:rsidR="00F33069" w:rsidRPr="00DE3C10">
        <w:rPr>
          <w:rFonts w:ascii="Times New Roman" w:hAnsi="Times New Roman" w:cs="Times New Roman"/>
          <w:color w:val="171717" w:themeColor="background2" w:themeShade="1A"/>
          <w:sz w:val="24"/>
          <w:szCs w:val="24"/>
        </w:rPr>
        <w:t xml:space="preserve"> The first requirement for the correction of a deal states that</w:t>
      </w:r>
      <w:r w:rsidR="00E77290" w:rsidRPr="00DE3C10">
        <w:rPr>
          <w:rFonts w:ascii="Times New Roman" w:hAnsi="Times New Roman" w:cs="Times New Roman"/>
          <w:color w:val="171717" w:themeColor="background2" w:themeShade="1A"/>
          <w:sz w:val="24"/>
          <w:szCs w:val="24"/>
        </w:rPr>
        <w:t xml:space="preserve"> the people involved must depict continuous intention into the agreement they have or have not signed.</w:t>
      </w:r>
      <w:r w:rsidR="004C6F60" w:rsidRPr="00DE3C10">
        <w:rPr>
          <w:rFonts w:ascii="Times New Roman" w:hAnsi="Times New Roman" w:cs="Times New Roman"/>
          <w:color w:val="171717" w:themeColor="background2" w:themeShade="1A"/>
          <w:sz w:val="24"/>
          <w:szCs w:val="24"/>
        </w:rPr>
        <w:t xml:space="preserve"> Secondly, the parties must prove that they had an accord</w:t>
      </w:r>
      <w:r w:rsidR="003C1242" w:rsidRPr="00DE3C10">
        <w:rPr>
          <w:rFonts w:ascii="Times New Roman" w:hAnsi="Times New Roman" w:cs="Times New Roman"/>
          <w:color w:val="171717" w:themeColor="background2" w:themeShade="1A"/>
          <w:sz w:val="24"/>
          <w:szCs w:val="24"/>
        </w:rPr>
        <w:t xml:space="preserve"> in the contract</w:t>
      </w:r>
      <w:r w:rsidR="004C6F60" w:rsidRPr="00DE3C10">
        <w:rPr>
          <w:rFonts w:ascii="Times New Roman" w:hAnsi="Times New Roman" w:cs="Times New Roman"/>
          <w:color w:val="171717" w:themeColor="background2" w:themeShade="1A"/>
          <w:sz w:val="24"/>
          <w:szCs w:val="24"/>
        </w:rPr>
        <w:t>.</w:t>
      </w:r>
      <w:r w:rsidR="005E44E8" w:rsidRPr="00DE3C10">
        <w:rPr>
          <w:rFonts w:ascii="Times New Roman" w:hAnsi="Times New Roman" w:cs="Times New Roman"/>
          <w:color w:val="171717" w:themeColor="background2" w:themeShade="1A"/>
          <w:sz w:val="24"/>
          <w:szCs w:val="24"/>
        </w:rPr>
        <w:t xml:space="preserve"> </w:t>
      </w:r>
      <w:r w:rsidRPr="00DE3C10">
        <w:rPr>
          <w:rFonts w:ascii="Times New Roman" w:hAnsi="Times New Roman" w:cs="Times New Roman"/>
          <w:color w:val="171717" w:themeColor="background2" w:themeShade="1A"/>
          <w:sz w:val="24"/>
          <w:szCs w:val="24"/>
        </w:rPr>
        <w:t xml:space="preserve">The aim of the </w:t>
      </w:r>
      <w:r w:rsidR="002E3A26" w:rsidRPr="00DE3C10">
        <w:rPr>
          <w:rFonts w:ascii="Times New Roman" w:hAnsi="Times New Roman" w:cs="Times New Roman"/>
          <w:color w:val="171717" w:themeColor="background2" w:themeShade="1A"/>
          <w:sz w:val="24"/>
          <w:szCs w:val="24"/>
        </w:rPr>
        <w:t xml:space="preserve">contracting </w:t>
      </w:r>
      <w:r w:rsidRPr="00DE3C10">
        <w:rPr>
          <w:rFonts w:ascii="Times New Roman" w:hAnsi="Times New Roman" w:cs="Times New Roman"/>
          <w:color w:val="171717" w:themeColor="background2" w:themeShade="1A"/>
          <w:sz w:val="24"/>
          <w:szCs w:val="24"/>
        </w:rPr>
        <w:t>p</w:t>
      </w:r>
      <w:r w:rsidR="002E3A26" w:rsidRPr="00DE3C10">
        <w:rPr>
          <w:rFonts w:ascii="Times New Roman" w:hAnsi="Times New Roman" w:cs="Times New Roman"/>
          <w:color w:val="171717" w:themeColor="background2" w:themeShade="1A"/>
          <w:sz w:val="24"/>
          <w:szCs w:val="24"/>
        </w:rPr>
        <w:t>eople</w:t>
      </w:r>
      <w:r w:rsidRPr="00DE3C10">
        <w:rPr>
          <w:rFonts w:ascii="Times New Roman" w:hAnsi="Times New Roman" w:cs="Times New Roman"/>
          <w:color w:val="171717" w:themeColor="background2" w:themeShade="1A"/>
          <w:sz w:val="24"/>
          <w:szCs w:val="24"/>
        </w:rPr>
        <w:t xml:space="preserve"> must </w:t>
      </w:r>
      <w:r w:rsidR="00D02F3F" w:rsidRPr="00DE3C10">
        <w:rPr>
          <w:rFonts w:ascii="Times New Roman" w:hAnsi="Times New Roman" w:cs="Times New Roman"/>
          <w:color w:val="171717" w:themeColor="background2" w:themeShade="1A"/>
          <w:sz w:val="24"/>
          <w:szCs w:val="24"/>
        </w:rPr>
        <w:t xml:space="preserve">also </w:t>
      </w:r>
      <w:r w:rsidRPr="00DE3C10">
        <w:rPr>
          <w:rFonts w:ascii="Times New Roman" w:hAnsi="Times New Roman" w:cs="Times New Roman"/>
          <w:color w:val="171717" w:themeColor="background2" w:themeShade="1A"/>
          <w:sz w:val="24"/>
          <w:szCs w:val="24"/>
        </w:rPr>
        <w:t>have been continuing during the rectification period.</w:t>
      </w:r>
      <w:r w:rsidR="00F77CE6" w:rsidRPr="00DE3C10">
        <w:rPr>
          <w:rFonts w:ascii="Times New Roman" w:hAnsi="Times New Roman" w:cs="Times New Roman"/>
          <w:color w:val="171717" w:themeColor="background2" w:themeShade="1A"/>
          <w:sz w:val="24"/>
          <w:szCs w:val="24"/>
        </w:rPr>
        <w:t xml:space="preserve"> Lastly, the statement for the correction should </w:t>
      </w:r>
      <w:r w:rsidR="005273CC" w:rsidRPr="00DE3C10">
        <w:rPr>
          <w:rFonts w:ascii="Times New Roman" w:hAnsi="Times New Roman" w:cs="Times New Roman"/>
          <w:color w:val="171717" w:themeColor="background2" w:themeShade="1A"/>
          <w:sz w:val="24"/>
          <w:szCs w:val="24"/>
        </w:rPr>
        <w:t xml:space="preserve">not </w:t>
      </w:r>
      <w:r w:rsidR="00F77CE6" w:rsidRPr="00DE3C10">
        <w:rPr>
          <w:rFonts w:ascii="Times New Roman" w:hAnsi="Times New Roman" w:cs="Times New Roman"/>
          <w:color w:val="171717" w:themeColor="background2" w:themeShade="1A"/>
          <w:sz w:val="24"/>
          <w:szCs w:val="24"/>
        </w:rPr>
        <w:t>be a co</w:t>
      </w:r>
      <w:r w:rsidR="005D7CA0" w:rsidRPr="00DE3C10">
        <w:rPr>
          <w:rFonts w:ascii="Times New Roman" w:hAnsi="Times New Roman" w:cs="Times New Roman"/>
          <w:color w:val="171717" w:themeColor="background2" w:themeShade="1A"/>
          <w:sz w:val="24"/>
          <w:szCs w:val="24"/>
        </w:rPr>
        <w:t>mmon objective for both parties</w:t>
      </w:r>
      <w:r w:rsidR="00AC6303" w:rsidRPr="00DE3C10">
        <w:rPr>
          <w:rFonts w:ascii="Times New Roman" w:hAnsi="Times New Roman" w:cs="Times New Roman"/>
          <w:color w:val="171717" w:themeColor="background2" w:themeShade="1A"/>
          <w:sz w:val="24"/>
          <w:szCs w:val="24"/>
        </w:rPr>
        <w:t>.</w:t>
      </w:r>
    </w:p>
    <w:p w14:paraId="21F41423" w14:textId="72A64BB2" w:rsidR="00C23022" w:rsidRPr="00DE3C10" w:rsidRDefault="00FD5493" w:rsidP="00C71A69">
      <w:pPr>
        <w:spacing w:line="480" w:lineRule="auto"/>
        <w:jc w:val="both"/>
        <w:rPr>
          <w:rFonts w:ascii="Times New Roman" w:hAnsi="Times New Roman" w:cs="Times New Roman"/>
          <w:b/>
          <w:color w:val="171717" w:themeColor="background2" w:themeShade="1A"/>
          <w:sz w:val="24"/>
          <w:szCs w:val="24"/>
        </w:rPr>
      </w:pPr>
      <w:r w:rsidRPr="00DE3C10">
        <w:rPr>
          <w:rFonts w:ascii="Times New Roman" w:hAnsi="Times New Roman" w:cs="Times New Roman"/>
          <w:b/>
          <w:color w:val="171717" w:themeColor="background2" w:themeShade="1A"/>
          <w:sz w:val="24"/>
          <w:szCs w:val="24"/>
        </w:rPr>
        <w:t>Conclusion</w:t>
      </w:r>
    </w:p>
    <w:p w14:paraId="2BB559DC" w14:textId="1EBDA2F2" w:rsidR="007F60D7" w:rsidRPr="00DE3C10" w:rsidRDefault="00FD5493" w:rsidP="00C71A69">
      <w:pPr>
        <w:spacing w:line="480" w:lineRule="auto"/>
        <w:jc w:val="both"/>
        <w:rPr>
          <w:rFonts w:ascii="Times New Roman" w:hAnsi="Times New Roman" w:cs="Times New Roman"/>
          <w:color w:val="171717" w:themeColor="background2" w:themeShade="1A"/>
          <w:sz w:val="24"/>
          <w:szCs w:val="24"/>
        </w:rPr>
      </w:pPr>
      <w:r w:rsidRPr="00DE3C10">
        <w:rPr>
          <w:rFonts w:ascii="Times New Roman" w:hAnsi="Times New Roman" w:cs="Times New Roman"/>
          <w:color w:val="171717" w:themeColor="background2" w:themeShade="1A"/>
          <w:sz w:val="24"/>
          <w:szCs w:val="24"/>
        </w:rPr>
        <w:t xml:space="preserve">Language has always been flexible in </w:t>
      </w:r>
      <w:r w:rsidR="00FA2CBC" w:rsidRPr="00DE3C10">
        <w:rPr>
          <w:rFonts w:ascii="Times New Roman" w:hAnsi="Times New Roman" w:cs="Times New Roman"/>
          <w:color w:val="171717" w:themeColor="background2" w:themeShade="1A"/>
          <w:sz w:val="24"/>
          <w:szCs w:val="24"/>
        </w:rPr>
        <w:t xml:space="preserve">its </w:t>
      </w:r>
      <w:r w:rsidRPr="00DE3C10">
        <w:rPr>
          <w:rFonts w:ascii="Times New Roman" w:hAnsi="Times New Roman" w:cs="Times New Roman"/>
          <w:color w:val="171717" w:themeColor="background2" w:themeShade="1A"/>
          <w:sz w:val="24"/>
          <w:szCs w:val="24"/>
        </w:rPr>
        <w:t>meaning</w:t>
      </w:r>
      <w:r w:rsidR="0010387B" w:rsidRPr="00DE3C10">
        <w:rPr>
          <w:rFonts w:ascii="Times New Roman" w:hAnsi="Times New Roman" w:cs="Times New Roman"/>
          <w:color w:val="171717" w:themeColor="background2" w:themeShade="1A"/>
          <w:sz w:val="24"/>
          <w:szCs w:val="24"/>
        </w:rPr>
        <w:t>,</w:t>
      </w:r>
      <w:r w:rsidRPr="00DE3C10">
        <w:rPr>
          <w:rFonts w:ascii="Times New Roman" w:hAnsi="Times New Roman" w:cs="Times New Roman"/>
          <w:color w:val="171717" w:themeColor="background2" w:themeShade="1A"/>
          <w:sz w:val="24"/>
          <w:szCs w:val="24"/>
        </w:rPr>
        <w:t xml:space="preserve"> depending on the interpreter and the condition surrounding two contracting parties. Furthermore, people are still afraid of losing their contract negotiation due to syntactical errors. Hence, there will always be changes to the principle of contract, but for the moment, we hope that the policies are sufficient. </w:t>
      </w:r>
    </w:p>
    <w:p w14:paraId="674509E9" w14:textId="77777777" w:rsidR="007F60D7" w:rsidRPr="00DE3C10" w:rsidRDefault="007F60D7" w:rsidP="007F60D7">
      <w:pPr>
        <w:spacing w:line="480" w:lineRule="auto"/>
        <w:ind w:firstLine="720"/>
        <w:rPr>
          <w:rFonts w:ascii="Times New Roman" w:hAnsi="Times New Roman" w:cs="Times New Roman"/>
          <w:color w:val="171717" w:themeColor="background2" w:themeShade="1A"/>
          <w:sz w:val="24"/>
          <w:szCs w:val="24"/>
        </w:rPr>
      </w:pPr>
    </w:p>
    <w:p w14:paraId="5E9A2A4D" w14:textId="77777777" w:rsidR="00D8712E" w:rsidRDefault="00D8712E" w:rsidP="00093EE9">
      <w:pPr>
        <w:spacing w:line="480" w:lineRule="auto"/>
        <w:ind w:firstLine="720"/>
        <w:rPr>
          <w:rFonts w:ascii="Times New Roman" w:hAnsi="Times New Roman" w:cs="Times New Roman"/>
          <w:color w:val="171717" w:themeColor="background2" w:themeShade="1A"/>
          <w:sz w:val="24"/>
          <w:szCs w:val="24"/>
        </w:rPr>
      </w:pPr>
    </w:p>
    <w:p w14:paraId="0BA7BFD0" w14:textId="77777777" w:rsidR="00292134" w:rsidRDefault="00292134" w:rsidP="00093EE9">
      <w:pPr>
        <w:spacing w:line="480" w:lineRule="auto"/>
        <w:ind w:firstLine="720"/>
        <w:rPr>
          <w:rFonts w:ascii="Times New Roman" w:hAnsi="Times New Roman" w:cs="Times New Roman"/>
          <w:color w:val="171717" w:themeColor="background2" w:themeShade="1A"/>
          <w:sz w:val="24"/>
          <w:szCs w:val="24"/>
        </w:rPr>
      </w:pPr>
    </w:p>
    <w:p w14:paraId="3D763F1E" w14:textId="77777777" w:rsidR="00292134" w:rsidRDefault="00292134" w:rsidP="00093EE9">
      <w:pPr>
        <w:spacing w:line="480" w:lineRule="auto"/>
        <w:ind w:firstLine="720"/>
        <w:rPr>
          <w:rFonts w:ascii="Times New Roman" w:hAnsi="Times New Roman" w:cs="Times New Roman"/>
          <w:color w:val="171717" w:themeColor="background2" w:themeShade="1A"/>
          <w:sz w:val="24"/>
          <w:szCs w:val="24"/>
        </w:rPr>
      </w:pPr>
    </w:p>
    <w:p w14:paraId="63424069" w14:textId="0A677AE3" w:rsidR="00292134" w:rsidRPr="00DE3C10" w:rsidRDefault="00292134" w:rsidP="008338EC">
      <w:pPr>
        <w:spacing w:line="480" w:lineRule="auto"/>
        <w:rPr>
          <w:rFonts w:ascii="Times New Roman" w:hAnsi="Times New Roman" w:cs="Times New Roman"/>
          <w:color w:val="171717" w:themeColor="background2" w:themeShade="1A"/>
          <w:sz w:val="24"/>
          <w:szCs w:val="24"/>
        </w:rPr>
      </w:pPr>
    </w:p>
    <w:p w14:paraId="01C34F99" w14:textId="77777777" w:rsidR="004A1710" w:rsidRPr="008338EC" w:rsidRDefault="00FD5493" w:rsidP="008338EC">
      <w:pPr>
        <w:spacing w:line="480" w:lineRule="auto"/>
        <w:jc w:val="center"/>
        <w:rPr>
          <w:rFonts w:ascii="Times New Roman" w:hAnsi="Times New Roman" w:cs="Times New Roman"/>
          <w:color w:val="171717" w:themeColor="background2" w:themeShade="1A"/>
          <w:sz w:val="24"/>
          <w:szCs w:val="24"/>
        </w:rPr>
      </w:pPr>
      <w:r w:rsidRPr="008338EC">
        <w:rPr>
          <w:rFonts w:ascii="Times New Roman" w:hAnsi="Times New Roman" w:cs="Times New Roman"/>
          <w:color w:val="171717" w:themeColor="background2" w:themeShade="1A"/>
          <w:sz w:val="24"/>
          <w:szCs w:val="24"/>
        </w:rPr>
        <w:lastRenderedPageBreak/>
        <w:t>Bibliography</w:t>
      </w:r>
    </w:p>
    <w:p w14:paraId="3CD14718" w14:textId="77777777" w:rsidR="00F94DC4" w:rsidRPr="00BA0818" w:rsidRDefault="00FD5493" w:rsidP="0096019E">
      <w:pPr>
        <w:spacing w:line="480" w:lineRule="auto"/>
        <w:rPr>
          <w:rFonts w:ascii="Times New Roman" w:hAnsi="Times New Roman" w:cs="Times New Roman"/>
          <w:color w:val="171717" w:themeColor="background2" w:themeShade="1A"/>
          <w:sz w:val="24"/>
          <w:szCs w:val="24"/>
        </w:rPr>
      </w:pPr>
      <w:r w:rsidRPr="00DE3C10">
        <w:rPr>
          <w:rFonts w:ascii="Times New Roman" w:hAnsi="Times New Roman" w:cs="Times New Roman"/>
          <w:b/>
          <w:color w:val="171717" w:themeColor="background2" w:themeShade="1A"/>
          <w:sz w:val="24"/>
          <w:szCs w:val="24"/>
        </w:rPr>
        <w:t>Cases</w:t>
      </w:r>
    </w:p>
    <w:p w14:paraId="43A14B7F" w14:textId="77777777" w:rsidR="00926DCD" w:rsidRPr="008338EC" w:rsidRDefault="00FD5493" w:rsidP="0096019E">
      <w:pPr>
        <w:pStyle w:val="a5"/>
        <w:spacing w:line="480" w:lineRule="auto"/>
        <w:jc w:val="both"/>
        <w:rPr>
          <w:rFonts w:ascii="Times New Roman" w:hAnsi="Times New Roman" w:cs="Times New Roman"/>
          <w:color w:val="171717" w:themeColor="background2" w:themeShade="1A"/>
          <w:sz w:val="24"/>
          <w:szCs w:val="24"/>
        </w:rPr>
      </w:pPr>
      <w:r w:rsidRPr="008338EC">
        <w:rPr>
          <w:rFonts w:ascii="Times New Roman" w:hAnsi="Times New Roman" w:cs="Times New Roman"/>
          <w:color w:val="171717" w:themeColor="background2" w:themeShade="1A"/>
          <w:sz w:val="24"/>
          <w:szCs w:val="24"/>
        </w:rPr>
        <w:t>Chartbrook ltd. v Persimmon Homes Ltd [2009] 1 AC 1101</w:t>
      </w:r>
    </w:p>
    <w:p w14:paraId="1DDA2792" w14:textId="77777777" w:rsidR="00033FF7" w:rsidRPr="008338EC" w:rsidRDefault="00FD5493" w:rsidP="0096019E">
      <w:pPr>
        <w:pStyle w:val="a5"/>
        <w:spacing w:line="480" w:lineRule="auto"/>
        <w:jc w:val="both"/>
        <w:rPr>
          <w:rFonts w:ascii="Times New Roman" w:hAnsi="Times New Roman" w:cs="Times New Roman"/>
          <w:color w:val="171717" w:themeColor="background2" w:themeShade="1A"/>
          <w:sz w:val="24"/>
          <w:szCs w:val="24"/>
        </w:rPr>
      </w:pPr>
      <w:r w:rsidRPr="008338EC">
        <w:rPr>
          <w:rFonts w:ascii="Times New Roman" w:hAnsi="Times New Roman" w:cs="Times New Roman"/>
          <w:color w:val="171717" w:themeColor="background2" w:themeShade="1A"/>
          <w:sz w:val="24"/>
          <w:szCs w:val="24"/>
        </w:rPr>
        <w:t>East v Pantiles Plant Hire Limited [1982] 2 EGLR 111</w:t>
      </w:r>
    </w:p>
    <w:p w14:paraId="552CDD1C" w14:textId="77777777" w:rsidR="00A16C78" w:rsidRPr="008338EC" w:rsidRDefault="00FD5493" w:rsidP="0096019E">
      <w:pPr>
        <w:pStyle w:val="a5"/>
        <w:spacing w:line="480" w:lineRule="auto"/>
        <w:jc w:val="both"/>
        <w:rPr>
          <w:rFonts w:ascii="Times New Roman" w:hAnsi="Times New Roman" w:cs="Times New Roman"/>
          <w:color w:val="171717" w:themeColor="background2" w:themeShade="1A"/>
          <w:sz w:val="24"/>
          <w:szCs w:val="24"/>
        </w:rPr>
      </w:pPr>
      <w:r w:rsidRPr="008338EC">
        <w:rPr>
          <w:rFonts w:ascii="Times New Roman" w:hAnsi="Times New Roman" w:cs="Times New Roman"/>
          <w:color w:val="171717" w:themeColor="background2" w:themeShade="1A"/>
          <w:sz w:val="24"/>
          <w:szCs w:val="24"/>
        </w:rPr>
        <w:t>Excelsior Group Production Limited v Television Ltd [2009] EWHC 1751 (Comm)</w:t>
      </w:r>
    </w:p>
    <w:p w14:paraId="352B698B" w14:textId="77777777" w:rsidR="00C978EE" w:rsidRPr="008338EC" w:rsidRDefault="00FD5493" w:rsidP="0096019E">
      <w:pPr>
        <w:pStyle w:val="a5"/>
        <w:spacing w:line="480" w:lineRule="auto"/>
        <w:jc w:val="both"/>
        <w:rPr>
          <w:rFonts w:ascii="Times New Roman" w:hAnsi="Times New Roman" w:cs="Times New Roman"/>
          <w:color w:val="171717" w:themeColor="background2" w:themeShade="1A"/>
          <w:sz w:val="24"/>
          <w:szCs w:val="24"/>
        </w:rPr>
      </w:pPr>
      <w:r w:rsidRPr="008338EC">
        <w:rPr>
          <w:rFonts w:ascii="Times New Roman" w:hAnsi="Times New Roman" w:cs="Times New Roman"/>
          <w:color w:val="171717" w:themeColor="background2" w:themeShade="1A"/>
          <w:sz w:val="24"/>
          <w:szCs w:val="24"/>
        </w:rPr>
        <w:t>Investors Compensation Scheme v West Bromwich Building Society [1998] 1 WLR 896</w:t>
      </w:r>
    </w:p>
    <w:p w14:paraId="5D7CC253" w14:textId="77777777" w:rsidR="00E6468A" w:rsidRPr="008338EC" w:rsidRDefault="00FD5493" w:rsidP="0096019E">
      <w:pPr>
        <w:pStyle w:val="a5"/>
        <w:spacing w:line="480" w:lineRule="auto"/>
        <w:jc w:val="both"/>
        <w:rPr>
          <w:rFonts w:ascii="Times New Roman" w:hAnsi="Times New Roman" w:cs="Times New Roman"/>
          <w:color w:val="171717" w:themeColor="background2" w:themeShade="1A"/>
          <w:sz w:val="24"/>
          <w:szCs w:val="24"/>
        </w:rPr>
      </w:pPr>
      <w:r w:rsidRPr="008338EC">
        <w:rPr>
          <w:rFonts w:ascii="Times New Roman" w:hAnsi="Times New Roman" w:cs="Times New Roman"/>
          <w:color w:val="171717" w:themeColor="background2" w:themeShade="1A"/>
          <w:sz w:val="24"/>
          <w:szCs w:val="24"/>
        </w:rPr>
        <w:t>National Bank of Sharjah v Dellborg Unreported July 9</w:t>
      </w:r>
      <w:r w:rsidRPr="008338EC">
        <w:rPr>
          <w:rFonts w:ascii="Times New Roman" w:hAnsi="Times New Roman" w:cs="Times New Roman"/>
          <w:color w:val="171717" w:themeColor="background2" w:themeShade="1A"/>
          <w:sz w:val="24"/>
          <w:szCs w:val="24"/>
          <w:vertAlign w:val="superscript"/>
        </w:rPr>
        <w:t>th</w:t>
      </w:r>
      <w:r w:rsidRPr="008338EC">
        <w:rPr>
          <w:rFonts w:ascii="Times New Roman" w:hAnsi="Times New Roman" w:cs="Times New Roman"/>
          <w:color w:val="171717" w:themeColor="background2" w:themeShade="1A"/>
          <w:sz w:val="24"/>
          <w:szCs w:val="24"/>
        </w:rPr>
        <w:t xml:space="preserve"> 1997</w:t>
      </w:r>
      <w:r w:rsidR="009E517E" w:rsidRPr="008338EC">
        <w:rPr>
          <w:rFonts w:ascii="Times New Roman" w:hAnsi="Times New Roman" w:cs="Times New Roman"/>
          <w:color w:val="171717" w:themeColor="background2" w:themeShade="1A"/>
          <w:sz w:val="24"/>
          <w:szCs w:val="24"/>
        </w:rPr>
        <w:tab/>
      </w:r>
    </w:p>
    <w:p w14:paraId="1637D946" w14:textId="77777777" w:rsidR="00E6468A" w:rsidRPr="008338EC" w:rsidRDefault="00FD5493" w:rsidP="0096019E">
      <w:pPr>
        <w:pStyle w:val="a5"/>
        <w:spacing w:line="480" w:lineRule="auto"/>
        <w:jc w:val="both"/>
        <w:rPr>
          <w:rFonts w:ascii="Times New Roman" w:hAnsi="Times New Roman" w:cs="Times New Roman"/>
          <w:color w:val="171717" w:themeColor="background2" w:themeShade="1A"/>
          <w:sz w:val="24"/>
          <w:szCs w:val="24"/>
        </w:rPr>
      </w:pPr>
      <w:r w:rsidRPr="008338EC">
        <w:rPr>
          <w:rFonts w:ascii="Times New Roman" w:hAnsi="Times New Roman" w:cs="Times New Roman"/>
          <w:color w:val="171717" w:themeColor="background2" w:themeShade="1A"/>
          <w:sz w:val="24"/>
          <w:szCs w:val="24"/>
        </w:rPr>
        <w:t>Oceanbulk Shipping and Trading SA v TMT Asia Limited [2002] 1 AC 251</w:t>
      </w:r>
    </w:p>
    <w:p w14:paraId="77971437" w14:textId="77777777" w:rsidR="004A7C4C" w:rsidRPr="008338EC" w:rsidRDefault="00FD5493" w:rsidP="0096019E">
      <w:pPr>
        <w:pStyle w:val="a5"/>
        <w:spacing w:line="480" w:lineRule="auto"/>
        <w:jc w:val="both"/>
        <w:rPr>
          <w:rFonts w:ascii="Times New Roman" w:hAnsi="Times New Roman" w:cs="Times New Roman"/>
          <w:color w:val="171717" w:themeColor="background2" w:themeShade="1A"/>
          <w:sz w:val="24"/>
          <w:szCs w:val="24"/>
        </w:rPr>
      </w:pPr>
      <w:r w:rsidRPr="008338EC">
        <w:rPr>
          <w:rFonts w:ascii="Times New Roman" w:hAnsi="Times New Roman" w:cs="Times New Roman"/>
          <w:color w:val="171717" w:themeColor="background2" w:themeShade="1A"/>
          <w:sz w:val="24"/>
          <w:szCs w:val="24"/>
        </w:rPr>
        <w:t>Oltmann v Sausdale Shipping Co Ltd [1976] 2 Lloyds Rep 98</w:t>
      </w:r>
    </w:p>
    <w:p w14:paraId="79EF6E40" w14:textId="77777777" w:rsidR="003765A4" w:rsidRPr="008338EC" w:rsidRDefault="00FD5493" w:rsidP="0096019E">
      <w:pPr>
        <w:pStyle w:val="a5"/>
        <w:spacing w:line="480" w:lineRule="auto"/>
        <w:jc w:val="both"/>
        <w:rPr>
          <w:rFonts w:ascii="Times New Roman" w:hAnsi="Times New Roman" w:cs="Times New Roman"/>
          <w:color w:val="171717" w:themeColor="background2" w:themeShade="1A"/>
          <w:sz w:val="24"/>
          <w:szCs w:val="24"/>
        </w:rPr>
      </w:pPr>
      <w:r w:rsidRPr="008338EC">
        <w:rPr>
          <w:rFonts w:ascii="Times New Roman" w:hAnsi="Times New Roman" w:cs="Times New Roman"/>
          <w:color w:val="171717" w:themeColor="background2" w:themeShade="1A"/>
          <w:sz w:val="24"/>
          <w:szCs w:val="24"/>
        </w:rPr>
        <w:t>Prenn v Simmonds [1971] 1 WLR 1381</w:t>
      </w:r>
    </w:p>
    <w:p w14:paraId="71657938" w14:textId="77777777" w:rsidR="004A7C4C" w:rsidRPr="00DE3C10" w:rsidRDefault="00FD5493" w:rsidP="0041108A">
      <w:pPr>
        <w:pStyle w:val="a5"/>
        <w:tabs>
          <w:tab w:val="clear" w:pos="9360"/>
          <w:tab w:val="left" w:pos="7770"/>
        </w:tabs>
        <w:spacing w:line="480" w:lineRule="auto"/>
        <w:jc w:val="both"/>
        <w:rPr>
          <w:rFonts w:ascii="Times New Roman" w:hAnsi="Times New Roman" w:cs="Times New Roman"/>
          <w:color w:val="171717" w:themeColor="background2" w:themeShade="1A"/>
          <w:sz w:val="24"/>
          <w:szCs w:val="24"/>
        </w:rPr>
      </w:pPr>
      <w:r w:rsidRPr="008338EC">
        <w:rPr>
          <w:rFonts w:ascii="Times New Roman" w:hAnsi="Times New Roman" w:cs="Times New Roman"/>
          <w:color w:val="171717" w:themeColor="background2" w:themeShade="1A"/>
          <w:sz w:val="24"/>
          <w:szCs w:val="24"/>
        </w:rPr>
        <w:t>Swainland Builders Ltd. v Freehold Properties Ltd [2002</w:t>
      </w:r>
      <w:r w:rsidRPr="00DE3C10">
        <w:rPr>
          <w:rFonts w:ascii="Times New Roman" w:hAnsi="Times New Roman" w:cs="Times New Roman"/>
          <w:color w:val="171717" w:themeColor="background2" w:themeShade="1A"/>
          <w:sz w:val="24"/>
          <w:szCs w:val="24"/>
        </w:rPr>
        <w:t xml:space="preserve">] 2 EGLR 71 </w:t>
      </w:r>
      <w:r w:rsidR="0041108A" w:rsidRPr="00DE3C10">
        <w:rPr>
          <w:rFonts w:ascii="Times New Roman" w:hAnsi="Times New Roman" w:cs="Times New Roman"/>
          <w:color w:val="171717" w:themeColor="background2" w:themeShade="1A"/>
          <w:sz w:val="24"/>
          <w:szCs w:val="24"/>
        </w:rPr>
        <w:tab/>
      </w:r>
    </w:p>
    <w:p w14:paraId="5CE84FCE" w14:textId="77777777" w:rsidR="0015046F" w:rsidRPr="00DE3C10" w:rsidRDefault="00FD5493" w:rsidP="0096019E">
      <w:pPr>
        <w:spacing w:line="480" w:lineRule="auto"/>
        <w:rPr>
          <w:rFonts w:ascii="Times New Roman" w:hAnsi="Times New Roman" w:cs="Times New Roman"/>
          <w:b/>
          <w:color w:val="171717" w:themeColor="background2" w:themeShade="1A"/>
          <w:sz w:val="24"/>
          <w:szCs w:val="24"/>
        </w:rPr>
      </w:pPr>
      <w:r w:rsidRPr="00DE3C10">
        <w:rPr>
          <w:rFonts w:ascii="Times New Roman" w:hAnsi="Times New Roman" w:cs="Times New Roman"/>
          <w:b/>
          <w:color w:val="171717" w:themeColor="background2" w:themeShade="1A"/>
          <w:sz w:val="24"/>
          <w:szCs w:val="24"/>
        </w:rPr>
        <w:t>Textbooks</w:t>
      </w:r>
    </w:p>
    <w:p w14:paraId="574A726B" w14:textId="3B18E6EB" w:rsidR="00691AF9" w:rsidRPr="00DE3C10" w:rsidRDefault="008338EC" w:rsidP="0096019E">
      <w:pPr>
        <w:pStyle w:val="a5"/>
        <w:spacing w:line="480" w:lineRule="auto"/>
        <w:jc w:val="both"/>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Baker JH</w:t>
      </w:r>
      <w:r w:rsidR="00FD5493" w:rsidRPr="00DE3C10">
        <w:rPr>
          <w:rFonts w:ascii="Times New Roman" w:hAnsi="Times New Roman" w:cs="Times New Roman"/>
          <w:color w:val="171717" w:themeColor="background2" w:themeShade="1A"/>
          <w:sz w:val="24"/>
          <w:szCs w:val="24"/>
        </w:rPr>
        <w:t xml:space="preserve">, </w:t>
      </w:r>
      <w:r>
        <w:rPr>
          <w:rFonts w:ascii="Times New Roman" w:hAnsi="Times New Roman" w:cs="Times New Roman"/>
          <w:i/>
          <w:color w:val="171717" w:themeColor="background2" w:themeShade="1A"/>
          <w:sz w:val="24"/>
          <w:szCs w:val="24"/>
        </w:rPr>
        <w:t>Statutory Interpretation a</w:t>
      </w:r>
      <w:r w:rsidRPr="00DE3C10">
        <w:rPr>
          <w:rFonts w:ascii="Times New Roman" w:hAnsi="Times New Roman" w:cs="Times New Roman"/>
          <w:i/>
          <w:color w:val="171717" w:themeColor="background2" w:themeShade="1A"/>
          <w:sz w:val="24"/>
          <w:szCs w:val="24"/>
        </w:rPr>
        <w:t xml:space="preserve">nd Parliamentary Intention </w:t>
      </w:r>
      <w:r w:rsidR="00FD5493" w:rsidRPr="00DE3C10">
        <w:rPr>
          <w:rFonts w:ascii="Times New Roman" w:hAnsi="Times New Roman" w:cs="Times New Roman"/>
          <w:color w:val="171717" w:themeColor="background2" w:themeShade="1A"/>
          <w:sz w:val="24"/>
          <w:szCs w:val="24"/>
        </w:rPr>
        <w:t>(</w:t>
      </w:r>
      <w:r w:rsidR="00B8636F" w:rsidRPr="00DE3C10">
        <w:rPr>
          <w:rFonts w:ascii="Times New Roman" w:hAnsi="Times New Roman" w:cs="Times New Roman"/>
          <w:color w:val="171717" w:themeColor="background2" w:themeShade="1A"/>
          <w:sz w:val="24"/>
          <w:szCs w:val="24"/>
        </w:rPr>
        <w:t>3</w:t>
      </w:r>
      <w:r w:rsidR="00B8636F" w:rsidRPr="00DE3C10">
        <w:rPr>
          <w:rFonts w:ascii="Times New Roman" w:hAnsi="Times New Roman" w:cs="Times New Roman"/>
          <w:color w:val="171717" w:themeColor="background2" w:themeShade="1A"/>
          <w:sz w:val="24"/>
          <w:szCs w:val="24"/>
          <w:vertAlign w:val="superscript"/>
        </w:rPr>
        <w:t>rd</w:t>
      </w:r>
      <w:r w:rsidR="00B8636F" w:rsidRPr="00DE3C10">
        <w:rPr>
          <w:rFonts w:ascii="Times New Roman" w:hAnsi="Times New Roman" w:cs="Times New Roman"/>
          <w:color w:val="171717" w:themeColor="background2" w:themeShade="1A"/>
          <w:sz w:val="24"/>
          <w:szCs w:val="24"/>
        </w:rPr>
        <w:t xml:space="preserve"> </w:t>
      </w:r>
      <w:proofErr w:type="spellStart"/>
      <w:r w:rsidR="00FD5493" w:rsidRPr="00DE3C10">
        <w:rPr>
          <w:rFonts w:ascii="Times New Roman" w:hAnsi="Times New Roman" w:cs="Times New Roman"/>
          <w:color w:val="171717" w:themeColor="background2" w:themeShade="1A"/>
          <w:sz w:val="24"/>
          <w:szCs w:val="24"/>
        </w:rPr>
        <w:t>ed</w:t>
      </w:r>
      <w:r w:rsidR="00AC384D" w:rsidRPr="00DE3C10">
        <w:rPr>
          <w:rFonts w:ascii="Times New Roman" w:hAnsi="Times New Roman" w:cs="Times New Roman"/>
          <w:color w:val="171717" w:themeColor="background2" w:themeShade="1A"/>
          <w:sz w:val="24"/>
          <w:szCs w:val="24"/>
        </w:rPr>
        <w:t>n</w:t>
      </w:r>
      <w:proofErr w:type="spellEnd"/>
      <w:r>
        <w:rPr>
          <w:rFonts w:ascii="Times New Roman" w:hAnsi="Times New Roman" w:cs="Times New Roman"/>
          <w:color w:val="171717" w:themeColor="background2" w:themeShade="1A"/>
          <w:sz w:val="24"/>
          <w:szCs w:val="24"/>
        </w:rPr>
        <w:t>,</w:t>
      </w:r>
      <w:r w:rsidR="00FD5493" w:rsidRPr="00DE3C10">
        <w:rPr>
          <w:rFonts w:ascii="Times New Roman" w:hAnsi="Times New Roman" w:cs="Times New Roman"/>
          <w:color w:val="171717" w:themeColor="background2" w:themeShade="1A"/>
          <w:sz w:val="24"/>
          <w:szCs w:val="24"/>
        </w:rPr>
        <w:t xml:space="preserve"> CLJ 1993)</w:t>
      </w:r>
    </w:p>
    <w:p w14:paraId="5E1451E1" w14:textId="647A1083" w:rsidR="00656D62" w:rsidRPr="00DE3C10" w:rsidRDefault="008338EC" w:rsidP="0096019E">
      <w:pPr>
        <w:pStyle w:val="a5"/>
        <w:spacing w:line="480" w:lineRule="auto"/>
        <w:jc w:val="both"/>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Zuckerman A</w:t>
      </w:r>
      <w:r w:rsidR="00FD5493" w:rsidRPr="00DE3C10">
        <w:rPr>
          <w:rFonts w:ascii="Times New Roman" w:hAnsi="Times New Roman" w:cs="Times New Roman"/>
          <w:color w:val="171717" w:themeColor="background2" w:themeShade="1A"/>
          <w:sz w:val="24"/>
          <w:szCs w:val="24"/>
        </w:rPr>
        <w:t xml:space="preserve">, </w:t>
      </w:r>
      <w:r w:rsidR="00FD5493" w:rsidRPr="00DE3C10">
        <w:rPr>
          <w:rFonts w:ascii="Times New Roman" w:hAnsi="Times New Roman" w:cs="Times New Roman"/>
          <w:i/>
          <w:color w:val="171717" w:themeColor="background2" w:themeShade="1A"/>
          <w:sz w:val="24"/>
          <w:szCs w:val="24"/>
        </w:rPr>
        <w:t>Without Prejudic</w:t>
      </w:r>
      <w:bookmarkStart w:id="0" w:name="_GoBack"/>
      <w:bookmarkEnd w:id="0"/>
      <w:r w:rsidR="00FD5493" w:rsidRPr="00DE3C10">
        <w:rPr>
          <w:rFonts w:ascii="Times New Roman" w:hAnsi="Times New Roman" w:cs="Times New Roman"/>
          <w:i/>
          <w:color w:val="171717" w:themeColor="background2" w:themeShade="1A"/>
          <w:sz w:val="24"/>
          <w:szCs w:val="24"/>
        </w:rPr>
        <w:t xml:space="preserve">e Interpretation </w:t>
      </w:r>
      <w:r w:rsidR="00FD5493" w:rsidRPr="00DE3C10">
        <w:rPr>
          <w:rFonts w:ascii="Times New Roman" w:hAnsi="Times New Roman" w:cs="Times New Roman"/>
          <w:color w:val="171717" w:themeColor="background2" w:themeShade="1A"/>
          <w:sz w:val="24"/>
          <w:szCs w:val="24"/>
        </w:rPr>
        <w:t>(</w:t>
      </w:r>
      <w:r w:rsidR="00B1090C" w:rsidRPr="00DE3C10">
        <w:rPr>
          <w:rFonts w:ascii="Times New Roman" w:hAnsi="Times New Roman" w:cs="Times New Roman"/>
          <w:color w:val="171717" w:themeColor="background2" w:themeShade="1A"/>
          <w:sz w:val="24"/>
          <w:szCs w:val="24"/>
        </w:rPr>
        <w:t>2</w:t>
      </w:r>
      <w:r w:rsidR="00B1090C" w:rsidRPr="00DE3C10">
        <w:rPr>
          <w:rFonts w:ascii="Times New Roman" w:hAnsi="Times New Roman" w:cs="Times New Roman"/>
          <w:color w:val="171717" w:themeColor="background2" w:themeShade="1A"/>
          <w:sz w:val="24"/>
          <w:szCs w:val="24"/>
          <w:vertAlign w:val="superscript"/>
        </w:rPr>
        <w:t>nd</w:t>
      </w:r>
      <w:r>
        <w:rPr>
          <w:rFonts w:ascii="Times New Roman" w:hAnsi="Times New Roman" w:cs="Times New Roman"/>
          <w:color w:val="171717" w:themeColor="background2" w:themeShade="1A"/>
          <w:sz w:val="24"/>
          <w:szCs w:val="24"/>
        </w:rPr>
        <w:t xml:space="preserve"> </w:t>
      </w:r>
      <w:proofErr w:type="spellStart"/>
      <w:r>
        <w:rPr>
          <w:rFonts w:ascii="Times New Roman" w:hAnsi="Times New Roman" w:cs="Times New Roman"/>
          <w:color w:val="171717" w:themeColor="background2" w:themeShade="1A"/>
          <w:sz w:val="24"/>
          <w:szCs w:val="24"/>
        </w:rPr>
        <w:t>edn</w:t>
      </w:r>
      <w:proofErr w:type="spellEnd"/>
      <w:r>
        <w:rPr>
          <w:rFonts w:ascii="Times New Roman" w:hAnsi="Times New Roman" w:cs="Times New Roman"/>
          <w:color w:val="171717" w:themeColor="background2" w:themeShade="1A"/>
          <w:sz w:val="24"/>
          <w:szCs w:val="24"/>
        </w:rPr>
        <w:t>,</w:t>
      </w:r>
      <w:r w:rsidR="00B1090C" w:rsidRPr="00DE3C10">
        <w:rPr>
          <w:rFonts w:ascii="Times New Roman" w:hAnsi="Times New Roman" w:cs="Times New Roman"/>
          <w:color w:val="171717" w:themeColor="background2" w:themeShade="1A"/>
          <w:sz w:val="24"/>
          <w:szCs w:val="24"/>
        </w:rPr>
        <w:t xml:space="preserve"> </w:t>
      </w:r>
      <w:r w:rsidR="00FD5493" w:rsidRPr="00DE3C10">
        <w:rPr>
          <w:rFonts w:ascii="Times New Roman" w:hAnsi="Times New Roman" w:cs="Times New Roman"/>
          <w:color w:val="171717" w:themeColor="background2" w:themeShade="1A"/>
          <w:sz w:val="24"/>
          <w:szCs w:val="24"/>
        </w:rPr>
        <w:t>IJEP 2011)</w:t>
      </w:r>
    </w:p>
    <w:p w14:paraId="4C960ADD" w14:textId="64D771CC" w:rsidR="004A1710" w:rsidRPr="00DE3C10" w:rsidRDefault="004A1710" w:rsidP="0096019E">
      <w:pPr>
        <w:spacing w:line="480" w:lineRule="auto"/>
        <w:rPr>
          <w:rFonts w:ascii="Times New Roman" w:hAnsi="Times New Roman" w:cs="Times New Roman"/>
          <w:color w:val="171717" w:themeColor="background2" w:themeShade="1A"/>
          <w:sz w:val="24"/>
          <w:szCs w:val="24"/>
        </w:rPr>
      </w:pPr>
    </w:p>
    <w:sectPr w:rsidR="004A1710" w:rsidRPr="00DE3C1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4F7CE" w14:textId="77777777" w:rsidR="00882E1B" w:rsidRDefault="00882E1B">
      <w:pPr>
        <w:spacing w:after="0" w:line="240" w:lineRule="auto"/>
      </w:pPr>
      <w:r>
        <w:separator/>
      </w:r>
    </w:p>
  </w:endnote>
  <w:endnote w:type="continuationSeparator" w:id="0">
    <w:p w14:paraId="0D0772E6" w14:textId="77777777" w:rsidR="00882E1B" w:rsidRDefault="00882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EF871" w14:textId="77777777" w:rsidR="001C64A2" w:rsidRPr="00B4576F" w:rsidRDefault="001C64A2" w:rsidP="00A81E08">
    <w:pPr>
      <w:pStyle w:val="a5"/>
      <w:spacing w:line="480" w:lineRule="auto"/>
      <w:jc w:val="both"/>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32618" w14:textId="77777777" w:rsidR="00003AFA" w:rsidRPr="001C64A2" w:rsidRDefault="00FD5493" w:rsidP="001E0F84">
    <w:pPr>
      <w:pStyle w:val="a5"/>
      <w:jc w:val="both"/>
      <w:rPr>
        <w:rFonts w:ascii="Times New Roman" w:hAnsi="Times New Roman" w:cs="Times New Roman"/>
        <w:sz w:val="24"/>
        <w:szCs w:val="24"/>
      </w:rPr>
    </w:pPr>
    <w:r>
      <w:rPr>
        <w:rFonts w:ascii="Times New Roman" w:hAnsi="Times New Roman" w:cs="Times New Roman"/>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E0DA7" w14:textId="77777777" w:rsidR="00882E1B" w:rsidRDefault="00882E1B">
      <w:pPr>
        <w:spacing w:after="0" w:line="240" w:lineRule="auto"/>
      </w:pPr>
      <w:r>
        <w:separator/>
      </w:r>
    </w:p>
  </w:footnote>
  <w:footnote w:type="continuationSeparator" w:id="0">
    <w:p w14:paraId="025586CD" w14:textId="77777777" w:rsidR="00882E1B" w:rsidRDefault="00882E1B">
      <w:pPr>
        <w:spacing w:after="0" w:line="240" w:lineRule="auto"/>
      </w:pPr>
      <w:r>
        <w:continuationSeparator/>
      </w:r>
    </w:p>
  </w:footnote>
  <w:footnote w:id="1">
    <w:p w14:paraId="4F8323B5" w14:textId="22E999DB" w:rsidR="00091A73" w:rsidRDefault="00091A73">
      <w:pPr>
        <w:pStyle w:val="af"/>
        <w:rPr>
          <w:rFonts w:ascii="Times New Roman" w:hAnsi="Times New Roman" w:cs="Times New Roman"/>
          <w:color w:val="171717" w:themeColor="background2" w:themeShade="1A"/>
        </w:rPr>
      </w:pPr>
      <w:r>
        <w:rPr>
          <w:rStyle w:val="af1"/>
        </w:rPr>
        <w:footnoteRef/>
      </w:r>
      <w:r>
        <w:t xml:space="preserve"> </w:t>
      </w:r>
      <w:r w:rsidRPr="00910853">
        <w:rPr>
          <w:rFonts w:ascii="Times New Roman" w:hAnsi="Times New Roman" w:cs="Times New Roman"/>
          <w:i/>
          <w:color w:val="171717" w:themeColor="background2" w:themeShade="1A"/>
        </w:rPr>
        <w:t>Investors Compensation Scheme v West Bromwich Building Society</w:t>
      </w:r>
      <w:r w:rsidRPr="00910853">
        <w:rPr>
          <w:rFonts w:ascii="Times New Roman" w:hAnsi="Times New Roman" w:cs="Times New Roman"/>
          <w:color w:val="171717" w:themeColor="background2" w:themeShade="1A"/>
        </w:rPr>
        <w:t xml:space="preserve"> [1998] 1 WLR 896</w:t>
      </w:r>
      <w:r>
        <w:rPr>
          <w:rFonts w:ascii="Times New Roman" w:hAnsi="Times New Roman" w:cs="Times New Roman"/>
          <w:color w:val="171717" w:themeColor="background2" w:themeShade="1A"/>
        </w:rPr>
        <w:t>.</w:t>
      </w:r>
    </w:p>
    <w:p w14:paraId="76C03D66" w14:textId="77777777" w:rsidR="00091A73" w:rsidRDefault="00091A73">
      <w:pPr>
        <w:pStyle w:val="af"/>
      </w:pPr>
    </w:p>
  </w:footnote>
  <w:footnote w:id="2">
    <w:p w14:paraId="58A33B4F" w14:textId="48005FE6" w:rsidR="00091A73" w:rsidRDefault="00091A73">
      <w:pPr>
        <w:pStyle w:val="af"/>
        <w:rPr>
          <w:rFonts w:ascii="Times New Roman" w:hAnsi="Times New Roman" w:cs="Times New Roman"/>
          <w:color w:val="171717" w:themeColor="background2" w:themeShade="1A"/>
        </w:rPr>
      </w:pPr>
      <w:r>
        <w:rPr>
          <w:rStyle w:val="af1"/>
        </w:rPr>
        <w:footnoteRef/>
      </w:r>
      <w:r>
        <w:t xml:space="preserve"> </w:t>
      </w:r>
      <w:proofErr w:type="spellStart"/>
      <w:r w:rsidRPr="00910853">
        <w:rPr>
          <w:rFonts w:ascii="Times New Roman" w:hAnsi="Times New Roman" w:cs="Times New Roman"/>
          <w:i/>
          <w:color w:val="171717" w:themeColor="background2" w:themeShade="1A"/>
        </w:rPr>
        <w:t>Prenn</w:t>
      </w:r>
      <w:proofErr w:type="spellEnd"/>
      <w:r w:rsidRPr="00910853">
        <w:rPr>
          <w:rFonts w:ascii="Times New Roman" w:hAnsi="Times New Roman" w:cs="Times New Roman"/>
          <w:i/>
          <w:color w:val="171717" w:themeColor="background2" w:themeShade="1A"/>
        </w:rPr>
        <w:t xml:space="preserve"> v Simmonds</w:t>
      </w:r>
      <w:r w:rsidRPr="00910853">
        <w:rPr>
          <w:rFonts w:ascii="Times New Roman" w:hAnsi="Times New Roman" w:cs="Times New Roman"/>
          <w:color w:val="171717" w:themeColor="background2" w:themeShade="1A"/>
        </w:rPr>
        <w:t xml:space="preserve"> [1971] 1 WLR 1381</w:t>
      </w:r>
      <w:r>
        <w:rPr>
          <w:rFonts w:ascii="Times New Roman" w:hAnsi="Times New Roman" w:cs="Times New Roman"/>
          <w:color w:val="171717" w:themeColor="background2" w:themeShade="1A"/>
        </w:rPr>
        <w:t>.</w:t>
      </w:r>
    </w:p>
    <w:p w14:paraId="516BDF7B" w14:textId="77777777" w:rsidR="00091A73" w:rsidRDefault="00091A73">
      <w:pPr>
        <w:pStyle w:val="af"/>
      </w:pPr>
    </w:p>
  </w:footnote>
  <w:footnote w:id="3">
    <w:p w14:paraId="6397B25A" w14:textId="55707440" w:rsidR="00091A73" w:rsidRDefault="00091A73">
      <w:pPr>
        <w:pStyle w:val="af"/>
      </w:pPr>
      <w:r>
        <w:rPr>
          <w:rStyle w:val="af1"/>
        </w:rPr>
        <w:footnoteRef/>
      </w:r>
      <w:r>
        <w:t xml:space="preserve"> </w:t>
      </w:r>
      <w:r w:rsidRPr="008A5B03">
        <w:rPr>
          <w:rFonts w:ascii="Times New Roman" w:hAnsi="Times New Roman" w:cs="Times New Roman"/>
          <w:color w:val="171717" w:themeColor="background2" w:themeShade="1A"/>
        </w:rPr>
        <w:t xml:space="preserve">Baker John Harold, </w:t>
      </w:r>
      <w:r w:rsidR="002E4682">
        <w:rPr>
          <w:rFonts w:ascii="Times New Roman" w:hAnsi="Times New Roman" w:cs="Times New Roman"/>
          <w:i/>
          <w:color w:val="171717" w:themeColor="background2" w:themeShade="1A"/>
        </w:rPr>
        <w:t>S</w:t>
      </w:r>
      <w:r w:rsidRPr="008A5B03">
        <w:rPr>
          <w:rFonts w:ascii="Times New Roman" w:hAnsi="Times New Roman" w:cs="Times New Roman"/>
          <w:i/>
          <w:color w:val="171717" w:themeColor="background2" w:themeShade="1A"/>
        </w:rPr>
        <w:t xml:space="preserve">tatutory </w:t>
      </w:r>
      <w:r w:rsidR="002E4682">
        <w:rPr>
          <w:rFonts w:ascii="Times New Roman" w:hAnsi="Times New Roman" w:cs="Times New Roman"/>
          <w:i/>
          <w:color w:val="171717" w:themeColor="background2" w:themeShade="1A"/>
        </w:rPr>
        <w:t>Interpretation a</w:t>
      </w:r>
      <w:r w:rsidR="002E4682" w:rsidRPr="008A5B03">
        <w:rPr>
          <w:rFonts w:ascii="Times New Roman" w:hAnsi="Times New Roman" w:cs="Times New Roman"/>
          <w:i/>
          <w:color w:val="171717" w:themeColor="background2" w:themeShade="1A"/>
        </w:rPr>
        <w:t xml:space="preserve">nd Parliamentary Intention </w:t>
      </w:r>
      <w:r w:rsidRPr="008A5B03">
        <w:rPr>
          <w:rFonts w:ascii="Times New Roman" w:hAnsi="Times New Roman" w:cs="Times New Roman"/>
          <w:color w:val="171717" w:themeColor="background2" w:themeShade="1A"/>
        </w:rPr>
        <w:t>(3</w:t>
      </w:r>
      <w:r w:rsidRPr="008A5B03">
        <w:rPr>
          <w:rFonts w:ascii="Times New Roman" w:hAnsi="Times New Roman" w:cs="Times New Roman"/>
          <w:color w:val="171717" w:themeColor="background2" w:themeShade="1A"/>
          <w:vertAlign w:val="superscript"/>
        </w:rPr>
        <w:t>rd</w:t>
      </w:r>
      <w:r>
        <w:rPr>
          <w:rFonts w:ascii="Times New Roman" w:hAnsi="Times New Roman" w:cs="Times New Roman"/>
          <w:color w:val="171717" w:themeColor="background2" w:themeShade="1A"/>
        </w:rPr>
        <w:t xml:space="preserve"> </w:t>
      </w:r>
      <w:proofErr w:type="spellStart"/>
      <w:r>
        <w:rPr>
          <w:rFonts w:ascii="Times New Roman" w:hAnsi="Times New Roman" w:cs="Times New Roman"/>
          <w:color w:val="171717" w:themeColor="background2" w:themeShade="1A"/>
        </w:rPr>
        <w:t>edn</w:t>
      </w:r>
      <w:proofErr w:type="spellEnd"/>
      <w:r>
        <w:rPr>
          <w:rFonts w:ascii="Times New Roman" w:hAnsi="Times New Roman" w:cs="Times New Roman"/>
          <w:color w:val="171717" w:themeColor="background2" w:themeShade="1A"/>
        </w:rPr>
        <w:t>,</w:t>
      </w:r>
      <w:r w:rsidRPr="008A5B03">
        <w:rPr>
          <w:rFonts w:ascii="Times New Roman" w:hAnsi="Times New Roman" w:cs="Times New Roman"/>
          <w:color w:val="171717" w:themeColor="background2" w:themeShade="1A"/>
        </w:rPr>
        <w:t xml:space="preserve"> CLJ 1993)</w:t>
      </w:r>
      <w:r>
        <w:rPr>
          <w:rFonts w:ascii="Times New Roman" w:hAnsi="Times New Roman" w:cs="Times New Roman"/>
          <w:color w:val="171717" w:themeColor="background2" w:themeShade="1A"/>
        </w:rPr>
        <w:t xml:space="preserve"> 353.</w:t>
      </w:r>
    </w:p>
  </w:footnote>
  <w:footnote w:id="4">
    <w:p w14:paraId="1520BC2D" w14:textId="6296E22A" w:rsidR="00091A73" w:rsidRDefault="00091A73">
      <w:pPr>
        <w:pStyle w:val="af"/>
        <w:rPr>
          <w:rFonts w:ascii="Times New Roman" w:hAnsi="Times New Roman" w:cs="Times New Roman"/>
          <w:color w:val="171717" w:themeColor="background2" w:themeShade="1A"/>
        </w:rPr>
      </w:pPr>
      <w:r>
        <w:rPr>
          <w:rStyle w:val="af1"/>
        </w:rPr>
        <w:footnoteRef/>
      </w:r>
      <w:r>
        <w:t xml:space="preserve"> </w:t>
      </w:r>
      <w:r w:rsidRPr="004D416C">
        <w:rPr>
          <w:rFonts w:ascii="Times New Roman" w:hAnsi="Times New Roman" w:cs="Times New Roman"/>
          <w:i/>
          <w:color w:val="171717" w:themeColor="background2" w:themeShade="1A"/>
        </w:rPr>
        <w:t xml:space="preserve">National Bank of Sharjah v </w:t>
      </w:r>
      <w:proofErr w:type="spellStart"/>
      <w:r w:rsidRPr="004D416C">
        <w:rPr>
          <w:rFonts w:ascii="Times New Roman" w:hAnsi="Times New Roman" w:cs="Times New Roman"/>
          <w:i/>
          <w:color w:val="171717" w:themeColor="background2" w:themeShade="1A"/>
        </w:rPr>
        <w:t>Dellborg</w:t>
      </w:r>
      <w:proofErr w:type="spellEnd"/>
      <w:r w:rsidRPr="004D416C">
        <w:rPr>
          <w:rFonts w:ascii="Times New Roman" w:hAnsi="Times New Roman" w:cs="Times New Roman"/>
          <w:color w:val="171717" w:themeColor="background2" w:themeShade="1A"/>
        </w:rPr>
        <w:t xml:space="preserve"> Unreported July 9</w:t>
      </w:r>
      <w:r w:rsidRPr="004D416C">
        <w:rPr>
          <w:rFonts w:ascii="Times New Roman" w:hAnsi="Times New Roman" w:cs="Times New Roman"/>
          <w:color w:val="171717" w:themeColor="background2" w:themeShade="1A"/>
          <w:vertAlign w:val="superscript"/>
        </w:rPr>
        <w:t>th</w:t>
      </w:r>
      <w:r w:rsidRPr="004D416C">
        <w:rPr>
          <w:rFonts w:ascii="Times New Roman" w:hAnsi="Times New Roman" w:cs="Times New Roman"/>
          <w:color w:val="171717" w:themeColor="background2" w:themeShade="1A"/>
        </w:rPr>
        <w:t xml:space="preserve"> 1997</w:t>
      </w:r>
      <w:r>
        <w:rPr>
          <w:rFonts w:ascii="Times New Roman" w:hAnsi="Times New Roman" w:cs="Times New Roman"/>
          <w:color w:val="171717" w:themeColor="background2" w:themeShade="1A"/>
        </w:rPr>
        <w:t>.</w:t>
      </w:r>
    </w:p>
    <w:p w14:paraId="516F6084" w14:textId="77777777" w:rsidR="00A55EA5" w:rsidRDefault="00A55EA5">
      <w:pPr>
        <w:pStyle w:val="af"/>
      </w:pPr>
    </w:p>
  </w:footnote>
  <w:footnote w:id="5">
    <w:p w14:paraId="45C36BCA" w14:textId="73000398" w:rsidR="00A55EA5" w:rsidRDefault="00A55EA5">
      <w:pPr>
        <w:pStyle w:val="af"/>
      </w:pPr>
      <w:r>
        <w:rPr>
          <w:rStyle w:val="af1"/>
        </w:rPr>
        <w:footnoteRef/>
      </w:r>
      <w:r>
        <w:t xml:space="preserve"> </w:t>
      </w:r>
      <w:proofErr w:type="spellStart"/>
      <w:r w:rsidRPr="0050576F">
        <w:rPr>
          <w:rFonts w:ascii="Times New Roman" w:hAnsi="Times New Roman" w:cs="Times New Roman"/>
          <w:i/>
          <w:color w:val="171717" w:themeColor="background2" w:themeShade="1A"/>
        </w:rPr>
        <w:t>Chartbrook</w:t>
      </w:r>
      <w:proofErr w:type="spellEnd"/>
      <w:r w:rsidRPr="0050576F">
        <w:rPr>
          <w:rFonts w:ascii="Times New Roman" w:hAnsi="Times New Roman" w:cs="Times New Roman"/>
          <w:i/>
          <w:color w:val="171717" w:themeColor="background2" w:themeShade="1A"/>
        </w:rPr>
        <w:t xml:space="preserve"> ltd. v Persimmon Homes Ltd</w:t>
      </w:r>
      <w:r w:rsidRPr="0050576F">
        <w:rPr>
          <w:rFonts w:ascii="Times New Roman" w:hAnsi="Times New Roman" w:cs="Times New Roman"/>
          <w:color w:val="171717" w:themeColor="background2" w:themeShade="1A"/>
        </w:rPr>
        <w:t xml:space="preserve"> [2009] 1 AC 1101</w:t>
      </w:r>
      <w:r>
        <w:rPr>
          <w:rFonts w:ascii="Times New Roman" w:hAnsi="Times New Roman" w:cs="Times New Roman"/>
          <w:color w:val="171717" w:themeColor="background2" w:themeShade="1A"/>
        </w:rPr>
        <w:t>.</w:t>
      </w:r>
    </w:p>
  </w:footnote>
  <w:footnote w:id="6">
    <w:p w14:paraId="25184694" w14:textId="5A577703" w:rsidR="00A55EA5" w:rsidRDefault="00A55EA5">
      <w:pPr>
        <w:pStyle w:val="af"/>
        <w:rPr>
          <w:rFonts w:ascii="Times New Roman" w:hAnsi="Times New Roman" w:cs="Times New Roman"/>
          <w:color w:val="171717" w:themeColor="background2" w:themeShade="1A"/>
        </w:rPr>
      </w:pPr>
      <w:r>
        <w:rPr>
          <w:rStyle w:val="af1"/>
        </w:rPr>
        <w:footnoteRef/>
      </w:r>
      <w:r>
        <w:t xml:space="preserve"> </w:t>
      </w:r>
      <w:proofErr w:type="spellStart"/>
      <w:r w:rsidRPr="0050576F">
        <w:rPr>
          <w:rFonts w:ascii="Times New Roman" w:hAnsi="Times New Roman" w:cs="Times New Roman"/>
          <w:i/>
          <w:color w:val="171717" w:themeColor="background2" w:themeShade="1A"/>
        </w:rPr>
        <w:t>Oceanbulk</w:t>
      </w:r>
      <w:proofErr w:type="spellEnd"/>
      <w:r w:rsidRPr="0050576F">
        <w:rPr>
          <w:rFonts w:ascii="Times New Roman" w:hAnsi="Times New Roman" w:cs="Times New Roman"/>
          <w:i/>
          <w:color w:val="171717" w:themeColor="background2" w:themeShade="1A"/>
        </w:rPr>
        <w:t xml:space="preserve"> Shipping and Trading SA v TMT Asia Limited</w:t>
      </w:r>
      <w:r w:rsidRPr="0050576F">
        <w:rPr>
          <w:rFonts w:ascii="Times New Roman" w:hAnsi="Times New Roman" w:cs="Times New Roman"/>
          <w:color w:val="171717" w:themeColor="background2" w:themeShade="1A"/>
        </w:rPr>
        <w:t xml:space="preserve"> [2002] 1 AC 251</w:t>
      </w:r>
      <w:r>
        <w:rPr>
          <w:rFonts w:ascii="Times New Roman" w:hAnsi="Times New Roman" w:cs="Times New Roman"/>
          <w:color w:val="171717" w:themeColor="background2" w:themeShade="1A"/>
        </w:rPr>
        <w:t>.</w:t>
      </w:r>
    </w:p>
    <w:p w14:paraId="687D9CC2" w14:textId="77777777" w:rsidR="002E4682" w:rsidRDefault="002E4682">
      <w:pPr>
        <w:pStyle w:val="af"/>
      </w:pPr>
    </w:p>
  </w:footnote>
  <w:footnote w:id="7">
    <w:p w14:paraId="2A2142F9" w14:textId="35F3A32E" w:rsidR="00A55EA5" w:rsidRDefault="00A55EA5">
      <w:pPr>
        <w:pStyle w:val="af"/>
        <w:rPr>
          <w:rFonts w:ascii="Times New Roman" w:hAnsi="Times New Roman" w:cs="Times New Roman"/>
          <w:color w:val="171717" w:themeColor="background2" w:themeShade="1A"/>
        </w:rPr>
      </w:pPr>
      <w:r>
        <w:rPr>
          <w:rStyle w:val="af1"/>
        </w:rPr>
        <w:footnoteRef/>
      </w:r>
      <w:r>
        <w:t xml:space="preserve"> </w:t>
      </w:r>
      <w:r w:rsidR="002E4682" w:rsidRPr="0050576F">
        <w:rPr>
          <w:rFonts w:ascii="Times New Roman" w:hAnsi="Times New Roman" w:cs="Times New Roman"/>
          <w:color w:val="171717" w:themeColor="background2" w:themeShade="1A"/>
        </w:rPr>
        <w:t xml:space="preserve">Zuckerman </w:t>
      </w:r>
      <w:proofErr w:type="spellStart"/>
      <w:r w:rsidR="002E4682" w:rsidRPr="0050576F">
        <w:rPr>
          <w:rFonts w:ascii="Times New Roman" w:hAnsi="Times New Roman" w:cs="Times New Roman"/>
          <w:color w:val="171717" w:themeColor="background2" w:themeShade="1A"/>
        </w:rPr>
        <w:t>Andrian</w:t>
      </w:r>
      <w:proofErr w:type="spellEnd"/>
      <w:r w:rsidR="002E4682" w:rsidRPr="0050576F">
        <w:rPr>
          <w:rFonts w:ascii="Times New Roman" w:hAnsi="Times New Roman" w:cs="Times New Roman"/>
          <w:color w:val="171717" w:themeColor="background2" w:themeShade="1A"/>
        </w:rPr>
        <w:t xml:space="preserve">, </w:t>
      </w:r>
      <w:r w:rsidR="002E4682" w:rsidRPr="0050576F">
        <w:rPr>
          <w:rFonts w:ascii="Times New Roman" w:hAnsi="Times New Roman" w:cs="Times New Roman"/>
          <w:i/>
          <w:color w:val="171717" w:themeColor="background2" w:themeShade="1A"/>
        </w:rPr>
        <w:t xml:space="preserve">Without Prejudice Interpretation </w:t>
      </w:r>
      <w:r w:rsidR="002E4682" w:rsidRPr="0050576F">
        <w:rPr>
          <w:rFonts w:ascii="Times New Roman" w:hAnsi="Times New Roman" w:cs="Times New Roman"/>
          <w:color w:val="171717" w:themeColor="background2" w:themeShade="1A"/>
        </w:rPr>
        <w:t>(2</w:t>
      </w:r>
      <w:r w:rsidR="002E4682" w:rsidRPr="0050576F">
        <w:rPr>
          <w:rFonts w:ascii="Times New Roman" w:hAnsi="Times New Roman" w:cs="Times New Roman"/>
          <w:color w:val="171717" w:themeColor="background2" w:themeShade="1A"/>
          <w:vertAlign w:val="superscript"/>
        </w:rPr>
        <w:t>nd</w:t>
      </w:r>
      <w:r w:rsidR="002E4682">
        <w:rPr>
          <w:rFonts w:ascii="Times New Roman" w:hAnsi="Times New Roman" w:cs="Times New Roman"/>
          <w:color w:val="171717" w:themeColor="background2" w:themeShade="1A"/>
        </w:rPr>
        <w:t xml:space="preserve"> </w:t>
      </w:r>
      <w:proofErr w:type="spellStart"/>
      <w:r w:rsidR="002E4682">
        <w:rPr>
          <w:rFonts w:ascii="Times New Roman" w:hAnsi="Times New Roman" w:cs="Times New Roman"/>
          <w:color w:val="171717" w:themeColor="background2" w:themeShade="1A"/>
        </w:rPr>
        <w:t>edn</w:t>
      </w:r>
      <w:proofErr w:type="spellEnd"/>
      <w:r w:rsidR="002E4682">
        <w:rPr>
          <w:rFonts w:ascii="Times New Roman" w:hAnsi="Times New Roman" w:cs="Times New Roman"/>
          <w:color w:val="171717" w:themeColor="background2" w:themeShade="1A"/>
        </w:rPr>
        <w:t>,</w:t>
      </w:r>
      <w:r w:rsidR="002E4682" w:rsidRPr="0050576F">
        <w:rPr>
          <w:rFonts w:ascii="Times New Roman" w:hAnsi="Times New Roman" w:cs="Times New Roman"/>
          <w:color w:val="171717" w:themeColor="background2" w:themeShade="1A"/>
        </w:rPr>
        <w:t xml:space="preserve"> IJEP 2011) 232</w:t>
      </w:r>
      <w:r w:rsidRPr="002E4682">
        <w:rPr>
          <w:rFonts w:ascii="Times New Roman" w:hAnsi="Times New Roman" w:cs="Times New Roman"/>
          <w:color w:val="171717" w:themeColor="background2" w:themeShade="1A"/>
        </w:rPr>
        <w:t>.</w:t>
      </w:r>
    </w:p>
    <w:p w14:paraId="5EC7FA58" w14:textId="77777777" w:rsidR="002E4682" w:rsidRDefault="002E4682">
      <w:pPr>
        <w:pStyle w:val="af"/>
      </w:pPr>
    </w:p>
  </w:footnote>
  <w:footnote w:id="8">
    <w:p w14:paraId="7B73FBB8" w14:textId="38DBEB9E" w:rsidR="00A55EA5" w:rsidRDefault="00A55EA5">
      <w:pPr>
        <w:pStyle w:val="af"/>
        <w:rPr>
          <w:rFonts w:ascii="Times New Roman" w:hAnsi="Times New Roman" w:cs="Times New Roman"/>
          <w:color w:val="171717" w:themeColor="background2" w:themeShade="1A"/>
        </w:rPr>
      </w:pPr>
      <w:r>
        <w:rPr>
          <w:rStyle w:val="af1"/>
        </w:rPr>
        <w:footnoteRef/>
      </w:r>
      <w:r w:rsidR="002E4682">
        <w:rPr>
          <w:rFonts w:ascii="Times New Roman" w:hAnsi="Times New Roman" w:cs="Times New Roman"/>
          <w:color w:val="171717" w:themeColor="background2" w:themeShade="1A"/>
        </w:rPr>
        <w:t xml:space="preserve"> </w:t>
      </w:r>
      <w:r w:rsidR="002E4682" w:rsidRPr="000123DF">
        <w:rPr>
          <w:rFonts w:ascii="Times New Roman" w:hAnsi="Times New Roman" w:cs="Times New Roman"/>
          <w:i/>
          <w:color w:val="171717" w:themeColor="background2" w:themeShade="1A"/>
        </w:rPr>
        <w:t>Excelsior Group Production Limited v Television Ltd</w:t>
      </w:r>
      <w:r w:rsidR="002E4682" w:rsidRPr="000123DF">
        <w:rPr>
          <w:rFonts w:ascii="Times New Roman" w:hAnsi="Times New Roman" w:cs="Times New Roman"/>
          <w:color w:val="171717" w:themeColor="background2" w:themeShade="1A"/>
        </w:rPr>
        <w:t xml:space="preserve"> [2009] EWHC 1751 (</w:t>
      </w:r>
      <w:proofErr w:type="spellStart"/>
      <w:r w:rsidR="002E4682" w:rsidRPr="000123DF">
        <w:rPr>
          <w:rFonts w:ascii="Times New Roman" w:hAnsi="Times New Roman" w:cs="Times New Roman"/>
          <w:color w:val="171717" w:themeColor="background2" w:themeShade="1A"/>
        </w:rPr>
        <w:t>Comm</w:t>
      </w:r>
      <w:proofErr w:type="spellEnd"/>
      <w:r w:rsidR="002E4682">
        <w:rPr>
          <w:rFonts w:ascii="Times New Roman" w:hAnsi="Times New Roman" w:cs="Times New Roman"/>
          <w:color w:val="171717" w:themeColor="background2" w:themeShade="1A"/>
        </w:rPr>
        <w:t>).</w:t>
      </w:r>
    </w:p>
    <w:p w14:paraId="67EAEA95" w14:textId="77777777" w:rsidR="002E4682" w:rsidRDefault="002E4682">
      <w:pPr>
        <w:pStyle w:val="af"/>
      </w:pPr>
    </w:p>
  </w:footnote>
  <w:footnote w:id="9">
    <w:p w14:paraId="25A2A32C" w14:textId="3A363C55" w:rsidR="002E4682" w:rsidRDefault="002E4682">
      <w:pPr>
        <w:pStyle w:val="af"/>
        <w:rPr>
          <w:rFonts w:ascii="Times New Roman" w:hAnsi="Times New Roman" w:cs="Times New Roman"/>
          <w:color w:val="171717" w:themeColor="background2" w:themeShade="1A"/>
        </w:rPr>
      </w:pPr>
      <w:r>
        <w:rPr>
          <w:rStyle w:val="af1"/>
        </w:rPr>
        <w:footnoteRef/>
      </w:r>
      <w:r>
        <w:rPr>
          <w:rFonts w:ascii="Times New Roman" w:hAnsi="Times New Roman" w:cs="Times New Roman"/>
          <w:color w:val="171717" w:themeColor="background2" w:themeShade="1A"/>
        </w:rPr>
        <w:t xml:space="preserve"> </w:t>
      </w:r>
      <w:r w:rsidRPr="002E4682">
        <w:rPr>
          <w:rFonts w:ascii="Times New Roman" w:hAnsi="Times New Roman" w:cs="Times New Roman"/>
          <w:i/>
          <w:color w:val="171717" w:themeColor="background2" w:themeShade="1A"/>
        </w:rPr>
        <w:t>Karen</w:t>
      </w:r>
      <w:r>
        <w:rPr>
          <w:rFonts w:ascii="Times New Roman" w:hAnsi="Times New Roman" w:cs="Times New Roman"/>
          <w:color w:val="171717" w:themeColor="background2" w:themeShade="1A"/>
        </w:rPr>
        <w:t xml:space="preserve"> </w:t>
      </w:r>
      <w:proofErr w:type="spellStart"/>
      <w:r w:rsidRPr="000123DF">
        <w:rPr>
          <w:rFonts w:ascii="Times New Roman" w:hAnsi="Times New Roman" w:cs="Times New Roman"/>
          <w:i/>
          <w:color w:val="171717" w:themeColor="background2" w:themeShade="1A"/>
        </w:rPr>
        <w:t>Oltmann</w:t>
      </w:r>
      <w:proofErr w:type="spellEnd"/>
      <w:r w:rsidRPr="000123DF">
        <w:rPr>
          <w:rFonts w:ascii="Times New Roman" w:hAnsi="Times New Roman" w:cs="Times New Roman"/>
          <w:i/>
          <w:color w:val="171717" w:themeColor="background2" w:themeShade="1A"/>
        </w:rPr>
        <w:t xml:space="preserve"> v </w:t>
      </w:r>
      <w:proofErr w:type="spellStart"/>
      <w:r w:rsidRPr="000123DF">
        <w:rPr>
          <w:rFonts w:ascii="Times New Roman" w:hAnsi="Times New Roman" w:cs="Times New Roman"/>
          <w:i/>
          <w:color w:val="171717" w:themeColor="background2" w:themeShade="1A"/>
        </w:rPr>
        <w:t>Sausdale</w:t>
      </w:r>
      <w:proofErr w:type="spellEnd"/>
      <w:r w:rsidRPr="000123DF">
        <w:rPr>
          <w:rFonts w:ascii="Times New Roman" w:hAnsi="Times New Roman" w:cs="Times New Roman"/>
          <w:i/>
          <w:color w:val="171717" w:themeColor="background2" w:themeShade="1A"/>
        </w:rPr>
        <w:t xml:space="preserve"> Shipping Co Ltd</w:t>
      </w:r>
      <w:r w:rsidRPr="000123DF">
        <w:rPr>
          <w:rFonts w:ascii="Times New Roman" w:hAnsi="Times New Roman" w:cs="Times New Roman"/>
          <w:color w:val="171717" w:themeColor="background2" w:themeShade="1A"/>
        </w:rPr>
        <w:t xml:space="preserve"> [1976] 2 Lloyds Rep 98</w:t>
      </w:r>
      <w:r>
        <w:rPr>
          <w:rFonts w:ascii="Times New Roman" w:hAnsi="Times New Roman" w:cs="Times New Roman"/>
          <w:color w:val="171717" w:themeColor="background2" w:themeShade="1A"/>
        </w:rPr>
        <w:t>.</w:t>
      </w:r>
    </w:p>
    <w:p w14:paraId="4DB5596D" w14:textId="77777777" w:rsidR="002E4682" w:rsidRDefault="002E4682">
      <w:pPr>
        <w:pStyle w:val="af"/>
      </w:pPr>
    </w:p>
  </w:footnote>
  <w:footnote w:id="10">
    <w:p w14:paraId="76F0062A" w14:textId="424F1106" w:rsidR="002E4682" w:rsidRDefault="002E4682">
      <w:pPr>
        <w:pStyle w:val="af"/>
      </w:pPr>
      <w:r>
        <w:rPr>
          <w:rStyle w:val="af1"/>
        </w:rPr>
        <w:footnoteRef/>
      </w:r>
      <w:r>
        <w:t xml:space="preserve"> </w:t>
      </w:r>
      <w:r w:rsidRPr="000123DF">
        <w:rPr>
          <w:rFonts w:ascii="Times New Roman" w:hAnsi="Times New Roman" w:cs="Times New Roman"/>
          <w:i/>
          <w:color w:val="171717" w:themeColor="background2" w:themeShade="1A"/>
        </w:rPr>
        <w:t>East v Pantiles Plant Hire Limited</w:t>
      </w:r>
      <w:r w:rsidRPr="000123DF">
        <w:rPr>
          <w:rFonts w:ascii="Times New Roman" w:hAnsi="Times New Roman" w:cs="Times New Roman"/>
          <w:color w:val="171717" w:themeColor="background2" w:themeShade="1A"/>
        </w:rPr>
        <w:t xml:space="preserve"> [1982] 2 EGLR 111</w:t>
      </w:r>
      <w:r>
        <w:rPr>
          <w:rFonts w:ascii="Times New Roman" w:hAnsi="Times New Roman" w:cs="Times New Roman"/>
          <w:color w:val="171717" w:themeColor="background2" w:themeShade="1A"/>
        </w:rPr>
        <w:t>.</w:t>
      </w:r>
    </w:p>
  </w:footnote>
  <w:footnote w:id="11">
    <w:p w14:paraId="69485C74" w14:textId="0E0DE6CB" w:rsidR="002E4682" w:rsidRDefault="002E4682">
      <w:pPr>
        <w:pStyle w:val="af"/>
      </w:pPr>
      <w:r>
        <w:rPr>
          <w:rStyle w:val="af1"/>
        </w:rPr>
        <w:footnoteRef/>
      </w:r>
      <w:r>
        <w:t xml:space="preserve"> </w:t>
      </w:r>
      <w:proofErr w:type="spellStart"/>
      <w:r w:rsidR="008338EC" w:rsidRPr="000123DF">
        <w:rPr>
          <w:rFonts w:ascii="Times New Roman" w:hAnsi="Times New Roman" w:cs="Times New Roman"/>
          <w:i/>
          <w:color w:val="171717" w:themeColor="background2" w:themeShade="1A"/>
        </w:rPr>
        <w:t>Swainland</w:t>
      </w:r>
      <w:proofErr w:type="spellEnd"/>
      <w:r w:rsidR="008338EC" w:rsidRPr="000123DF">
        <w:rPr>
          <w:rFonts w:ascii="Times New Roman" w:hAnsi="Times New Roman" w:cs="Times New Roman"/>
          <w:i/>
          <w:color w:val="171717" w:themeColor="background2" w:themeShade="1A"/>
        </w:rPr>
        <w:t xml:space="preserve"> Builders Ltd. v Freehold Properties Ltd</w:t>
      </w:r>
      <w:r w:rsidR="008338EC" w:rsidRPr="000123DF">
        <w:rPr>
          <w:rFonts w:ascii="Times New Roman" w:hAnsi="Times New Roman" w:cs="Times New Roman"/>
          <w:color w:val="171717" w:themeColor="background2" w:themeShade="1A"/>
        </w:rPr>
        <w:t xml:space="preserve"> [2002] 2 EGLR 71</w:t>
      </w:r>
      <w:r>
        <w:rPr>
          <w:rFonts w:ascii="Times New Roman" w:hAnsi="Times New Roman" w:cs="Times New Roman"/>
          <w:color w:val="171717" w:themeColor="background2" w:themeShade="1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15BF2"/>
    <w:multiLevelType w:val="hybridMultilevel"/>
    <w:tmpl w:val="A1860DAA"/>
    <w:lvl w:ilvl="0" w:tplc="806058A8">
      <w:start w:val="1"/>
      <w:numFmt w:val="decimal"/>
      <w:lvlText w:val="%1."/>
      <w:lvlJc w:val="left"/>
      <w:pPr>
        <w:ind w:left="720" w:hanging="360"/>
      </w:pPr>
      <w:rPr>
        <w:rFonts w:hint="default"/>
      </w:rPr>
    </w:lvl>
    <w:lvl w:ilvl="1" w:tplc="7C7AEC38" w:tentative="1">
      <w:start w:val="1"/>
      <w:numFmt w:val="lowerLetter"/>
      <w:lvlText w:val="%2."/>
      <w:lvlJc w:val="left"/>
      <w:pPr>
        <w:ind w:left="1440" w:hanging="360"/>
      </w:pPr>
    </w:lvl>
    <w:lvl w:ilvl="2" w:tplc="C8BA466C" w:tentative="1">
      <w:start w:val="1"/>
      <w:numFmt w:val="lowerRoman"/>
      <w:lvlText w:val="%3."/>
      <w:lvlJc w:val="right"/>
      <w:pPr>
        <w:ind w:left="2160" w:hanging="180"/>
      </w:pPr>
    </w:lvl>
    <w:lvl w:ilvl="3" w:tplc="240C3AEA" w:tentative="1">
      <w:start w:val="1"/>
      <w:numFmt w:val="decimal"/>
      <w:lvlText w:val="%4."/>
      <w:lvlJc w:val="left"/>
      <w:pPr>
        <w:ind w:left="2880" w:hanging="360"/>
      </w:pPr>
    </w:lvl>
    <w:lvl w:ilvl="4" w:tplc="8BC0D92A" w:tentative="1">
      <w:start w:val="1"/>
      <w:numFmt w:val="lowerLetter"/>
      <w:lvlText w:val="%5."/>
      <w:lvlJc w:val="left"/>
      <w:pPr>
        <w:ind w:left="3600" w:hanging="360"/>
      </w:pPr>
    </w:lvl>
    <w:lvl w:ilvl="5" w:tplc="C6B6ACF4" w:tentative="1">
      <w:start w:val="1"/>
      <w:numFmt w:val="lowerRoman"/>
      <w:lvlText w:val="%6."/>
      <w:lvlJc w:val="right"/>
      <w:pPr>
        <w:ind w:left="4320" w:hanging="180"/>
      </w:pPr>
    </w:lvl>
    <w:lvl w:ilvl="6" w:tplc="9EAE297E" w:tentative="1">
      <w:start w:val="1"/>
      <w:numFmt w:val="decimal"/>
      <w:lvlText w:val="%7."/>
      <w:lvlJc w:val="left"/>
      <w:pPr>
        <w:ind w:left="5040" w:hanging="360"/>
      </w:pPr>
    </w:lvl>
    <w:lvl w:ilvl="7" w:tplc="216EBE62" w:tentative="1">
      <w:start w:val="1"/>
      <w:numFmt w:val="lowerLetter"/>
      <w:lvlText w:val="%8."/>
      <w:lvlJc w:val="left"/>
      <w:pPr>
        <w:ind w:left="5760" w:hanging="360"/>
      </w:pPr>
    </w:lvl>
    <w:lvl w:ilvl="8" w:tplc="489CFFAC" w:tentative="1">
      <w:start w:val="1"/>
      <w:numFmt w:val="lowerRoman"/>
      <w:lvlText w:val="%9."/>
      <w:lvlJc w:val="right"/>
      <w:pPr>
        <w:ind w:left="6480" w:hanging="180"/>
      </w:pPr>
    </w:lvl>
  </w:abstractNum>
  <w:abstractNum w:abstractNumId="1" w15:restartNumberingAfterBreak="0">
    <w:nsid w:val="2B17456F"/>
    <w:multiLevelType w:val="hybridMultilevel"/>
    <w:tmpl w:val="C57013C6"/>
    <w:lvl w:ilvl="0" w:tplc="A43281B4">
      <w:start w:val="1"/>
      <w:numFmt w:val="decimal"/>
      <w:lvlText w:val="%1."/>
      <w:lvlJc w:val="left"/>
      <w:pPr>
        <w:ind w:left="1080" w:hanging="360"/>
      </w:pPr>
      <w:rPr>
        <w:rFonts w:hint="default"/>
      </w:rPr>
    </w:lvl>
    <w:lvl w:ilvl="1" w:tplc="5EF2E266" w:tentative="1">
      <w:start w:val="1"/>
      <w:numFmt w:val="lowerLetter"/>
      <w:lvlText w:val="%2."/>
      <w:lvlJc w:val="left"/>
      <w:pPr>
        <w:ind w:left="1800" w:hanging="360"/>
      </w:pPr>
    </w:lvl>
    <w:lvl w:ilvl="2" w:tplc="1CB807D2" w:tentative="1">
      <w:start w:val="1"/>
      <w:numFmt w:val="lowerRoman"/>
      <w:lvlText w:val="%3."/>
      <w:lvlJc w:val="right"/>
      <w:pPr>
        <w:ind w:left="2520" w:hanging="180"/>
      </w:pPr>
    </w:lvl>
    <w:lvl w:ilvl="3" w:tplc="808864D2" w:tentative="1">
      <w:start w:val="1"/>
      <w:numFmt w:val="decimal"/>
      <w:lvlText w:val="%4."/>
      <w:lvlJc w:val="left"/>
      <w:pPr>
        <w:ind w:left="3240" w:hanging="360"/>
      </w:pPr>
    </w:lvl>
    <w:lvl w:ilvl="4" w:tplc="2F4AA544" w:tentative="1">
      <w:start w:val="1"/>
      <w:numFmt w:val="lowerLetter"/>
      <w:lvlText w:val="%5."/>
      <w:lvlJc w:val="left"/>
      <w:pPr>
        <w:ind w:left="3960" w:hanging="360"/>
      </w:pPr>
    </w:lvl>
    <w:lvl w:ilvl="5" w:tplc="AED0E69A" w:tentative="1">
      <w:start w:val="1"/>
      <w:numFmt w:val="lowerRoman"/>
      <w:lvlText w:val="%6."/>
      <w:lvlJc w:val="right"/>
      <w:pPr>
        <w:ind w:left="4680" w:hanging="180"/>
      </w:pPr>
    </w:lvl>
    <w:lvl w:ilvl="6" w:tplc="4F20EC86" w:tentative="1">
      <w:start w:val="1"/>
      <w:numFmt w:val="decimal"/>
      <w:lvlText w:val="%7."/>
      <w:lvlJc w:val="left"/>
      <w:pPr>
        <w:ind w:left="5400" w:hanging="360"/>
      </w:pPr>
    </w:lvl>
    <w:lvl w:ilvl="7" w:tplc="8272C0C4" w:tentative="1">
      <w:start w:val="1"/>
      <w:numFmt w:val="lowerLetter"/>
      <w:lvlText w:val="%8."/>
      <w:lvlJc w:val="left"/>
      <w:pPr>
        <w:ind w:left="6120" w:hanging="360"/>
      </w:pPr>
    </w:lvl>
    <w:lvl w:ilvl="8" w:tplc="ABA8DFDC" w:tentative="1">
      <w:start w:val="1"/>
      <w:numFmt w:val="lowerRoman"/>
      <w:lvlText w:val="%9."/>
      <w:lvlJc w:val="right"/>
      <w:pPr>
        <w:ind w:left="6840" w:hanging="180"/>
      </w:pPr>
    </w:lvl>
  </w:abstractNum>
  <w:abstractNum w:abstractNumId="2" w15:restartNumberingAfterBreak="0">
    <w:nsid w:val="57DA0DA3"/>
    <w:multiLevelType w:val="hybridMultilevel"/>
    <w:tmpl w:val="0736E6D0"/>
    <w:lvl w:ilvl="0" w:tplc="7DFED99E">
      <w:start w:val="1"/>
      <w:numFmt w:val="decimal"/>
      <w:lvlText w:val="%1."/>
      <w:lvlJc w:val="left"/>
      <w:pPr>
        <w:ind w:left="720" w:hanging="360"/>
      </w:pPr>
      <w:rPr>
        <w:rFonts w:hint="default"/>
      </w:rPr>
    </w:lvl>
    <w:lvl w:ilvl="1" w:tplc="1A047836" w:tentative="1">
      <w:start w:val="1"/>
      <w:numFmt w:val="lowerLetter"/>
      <w:lvlText w:val="%2."/>
      <w:lvlJc w:val="left"/>
      <w:pPr>
        <w:ind w:left="1440" w:hanging="360"/>
      </w:pPr>
    </w:lvl>
    <w:lvl w:ilvl="2" w:tplc="29980A6C" w:tentative="1">
      <w:start w:val="1"/>
      <w:numFmt w:val="lowerRoman"/>
      <w:lvlText w:val="%3."/>
      <w:lvlJc w:val="right"/>
      <w:pPr>
        <w:ind w:left="2160" w:hanging="180"/>
      </w:pPr>
    </w:lvl>
    <w:lvl w:ilvl="3" w:tplc="2522F1F8" w:tentative="1">
      <w:start w:val="1"/>
      <w:numFmt w:val="decimal"/>
      <w:lvlText w:val="%4."/>
      <w:lvlJc w:val="left"/>
      <w:pPr>
        <w:ind w:left="2880" w:hanging="360"/>
      </w:pPr>
    </w:lvl>
    <w:lvl w:ilvl="4" w:tplc="5900D04A" w:tentative="1">
      <w:start w:val="1"/>
      <w:numFmt w:val="lowerLetter"/>
      <w:lvlText w:val="%5."/>
      <w:lvlJc w:val="left"/>
      <w:pPr>
        <w:ind w:left="3600" w:hanging="360"/>
      </w:pPr>
    </w:lvl>
    <w:lvl w:ilvl="5" w:tplc="5D4CA0FC" w:tentative="1">
      <w:start w:val="1"/>
      <w:numFmt w:val="lowerRoman"/>
      <w:lvlText w:val="%6."/>
      <w:lvlJc w:val="right"/>
      <w:pPr>
        <w:ind w:left="4320" w:hanging="180"/>
      </w:pPr>
    </w:lvl>
    <w:lvl w:ilvl="6" w:tplc="939C5AA4" w:tentative="1">
      <w:start w:val="1"/>
      <w:numFmt w:val="decimal"/>
      <w:lvlText w:val="%7."/>
      <w:lvlJc w:val="left"/>
      <w:pPr>
        <w:ind w:left="5040" w:hanging="360"/>
      </w:pPr>
    </w:lvl>
    <w:lvl w:ilvl="7" w:tplc="BFA23A50" w:tentative="1">
      <w:start w:val="1"/>
      <w:numFmt w:val="lowerLetter"/>
      <w:lvlText w:val="%8."/>
      <w:lvlJc w:val="left"/>
      <w:pPr>
        <w:ind w:left="5760" w:hanging="360"/>
      </w:pPr>
    </w:lvl>
    <w:lvl w:ilvl="8" w:tplc="6B5C0FC2"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3MDIxsjA3NzUyNjZV0lEKTi0uzszPAykwrwUAeJAn3ywAAAA="/>
  </w:docVars>
  <w:rsids>
    <w:rsidRoot w:val="00FA0C80"/>
    <w:rsid w:val="00003923"/>
    <w:rsid w:val="00003AFA"/>
    <w:rsid w:val="000123DF"/>
    <w:rsid w:val="00014467"/>
    <w:rsid w:val="00014EB9"/>
    <w:rsid w:val="00016B36"/>
    <w:rsid w:val="00023FA0"/>
    <w:rsid w:val="00031516"/>
    <w:rsid w:val="000325B7"/>
    <w:rsid w:val="00033FF7"/>
    <w:rsid w:val="00037303"/>
    <w:rsid w:val="00043B1B"/>
    <w:rsid w:val="00054B9E"/>
    <w:rsid w:val="0005637D"/>
    <w:rsid w:val="00057F2A"/>
    <w:rsid w:val="00062B65"/>
    <w:rsid w:val="00063322"/>
    <w:rsid w:val="00064CF9"/>
    <w:rsid w:val="0007709E"/>
    <w:rsid w:val="00082004"/>
    <w:rsid w:val="0008605E"/>
    <w:rsid w:val="00091A73"/>
    <w:rsid w:val="00093EE9"/>
    <w:rsid w:val="000A12B4"/>
    <w:rsid w:val="000A19E5"/>
    <w:rsid w:val="000A25F1"/>
    <w:rsid w:val="000C0E0F"/>
    <w:rsid w:val="000C10B3"/>
    <w:rsid w:val="000C2088"/>
    <w:rsid w:val="000C4439"/>
    <w:rsid w:val="000E2206"/>
    <w:rsid w:val="000E36F6"/>
    <w:rsid w:val="000E380A"/>
    <w:rsid w:val="000F04CA"/>
    <w:rsid w:val="000F2CCA"/>
    <w:rsid w:val="000F3520"/>
    <w:rsid w:val="000F4188"/>
    <w:rsid w:val="0010387B"/>
    <w:rsid w:val="00105CCF"/>
    <w:rsid w:val="001275E6"/>
    <w:rsid w:val="00132EEC"/>
    <w:rsid w:val="001362D4"/>
    <w:rsid w:val="00146037"/>
    <w:rsid w:val="0015046F"/>
    <w:rsid w:val="00153E31"/>
    <w:rsid w:val="00156824"/>
    <w:rsid w:val="001575FD"/>
    <w:rsid w:val="0016124D"/>
    <w:rsid w:val="00185CF0"/>
    <w:rsid w:val="001876C4"/>
    <w:rsid w:val="00192792"/>
    <w:rsid w:val="0019366B"/>
    <w:rsid w:val="00196E74"/>
    <w:rsid w:val="001A0AE9"/>
    <w:rsid w:val="001A1E9C"/>
    <w:rsid w:val="001A4DF6"/>
    <w:rsid w:val="001A72B0"/>
    <w:rsid w:val="001B78BA"/>
    <w:rsid w:val="001C01CA"/>
    <w:rsid w:val="001C4DDA"/>
    <w:rsid w:val="001C5F2D"/>
    <w:rsid w:val="001C64A2"/>
    <w:rsid w:val="001C7165"/>
    <w:rsid w:val="001C7754"/>
    <w:rsid w:val="001D5592"/>
    <w:rsid w:val="001D7053"/>
    <w:rsid w:val="001E0F84"/>
    <w:rsid w:val="001E39AD"/>
    <w:rsid w:val="001E3ABB"/>
    <w:rsid w:val="001F55CC"/>
    <w:rsid w:val="00203B15"/>
    <w:rsid w:val="002074CC"/>
    <w:rsid w:val="002129A9"/>
    <w:rsid w:val="002169BC"/>
    <w:rsid w:val="0021714C"/>
    <w:rsid w:val="00223643"/>
    <w:rsid w:val="00225536"/>
    <w:rsid w:val="00225DB6"/>
    <w:rsid w:val="00230874"/>
    <w:rsid w:val="002335B8"/>
    <w:rsid w:val="00236DF8"/>
    <w:rsid w:val="0026054E"/>
    <w:rsid w:val="00265A37"/>
    <w:rsid w:val="00270711"/>
    <w:rsid w:val="00284C83"/>
    <w:rsid w:val="00292134"/>
    <w:rsid w:val="002B66CF"/>
    <w:rsid w:val="002B7C2E"/>
    <w:rsid w:val="002C4B55"/>
    <w:rsid w:val="002C60EB"/>
    <w:rsid w:val="002C6AD7"/>
    <w:rsid w:val="002E31F1"/>
    <w:rsid w:val="002E3A26"/>
    <w:rsid w:val="002E4682"/>
    <w:rsid w:val="002E5345"/>
    <w:rsid w:val="002F36D1"/>
    <w:rsid w:val="002F6226"/>
    <w:rsid w:val="0030626A"/>
    <w:rsid w:val="003110B6"/>
    <w:rsid w:val="0031497A"/>
    <w:rsid w:val="0032182A"/>
    <w:rsid w:val="00323121"/>
    <w:rsid w:val="00327329"/>
    <w:rsid w:val="00335892"/>
    <w:rsid w:val="00344BF9"/>
    <w:rsid w:val="00350C48"/>
    <w:rsid w:val="00353ED7"/>
    <w:rsid w:val="00356465"/>
    <w:rsid w:val="00357C8C"/>
    <w:rsid w:val="00363F42"/>
    <w:rsid w:val="003677AF"/>
    <w:rsid w:val="003765A4"/>
    <w:rsid w:val="00377498"/>
    <w:rsid w:val="0039055A"/>
    <w:rsid w:val="00390D53"/>
    <w:rsid w:val="00390EFF"/>
    <w:rsid w:val="00390F8D"/>
    <w:rsid w:val="0039128A"/>
    <w:rsid w:val="003920CF"/>
    <w:rsid w:val="0039318C"/>
    <w:rsid w:val="003B1D20"/>
    <w:rsid w:val="003B6192"/>
    <w:rsid w:val="003B7FD9"/>
    <w:rsid w:val="003C1242"/>
    <w:rsid w:val="003D5178"/>
    <w:rsid w:val="003E5193"/>
    <w:rsid w:val="003F2CE1"/>
    <w:rsid w:val="003F4322"/>
    <w:rsid w:val="0041108A"/>
    <w:rsid w:val="00414BDF"/>
    <w:rsid w:val="00424EFD"/>
    <w:rsid w:val="00426D22"/>
    <w:rsid w:val="00426E6E"/>
    <w:rsid w:val="004340F2"/>
    <w:rsid w:val="0044299B"/>
    <w:rsid w:val="004601E9"/>
    <w:rsid w:val="00460D87"/>
    <w:rsid w:val="00464F54"/>
    <w:rsid w:val="004801DC"/>
    <w:rsid w:val="004842FB"/>
    <w:rsid w:val="004851DD"/>
    <w:rsid w:val="00486CF1"/>
    <w:rsid w:val="004873B8"/>
    <w:rsid w:val="00490FDB"/>
    <w:rsid w:val="004A12BD"/>
    <w:rsid w:val="004A1710"/>
    <w:rsid w:val="004A19AA"/>
    <w:rsid w:val="004A52EF"/>
    <w:rsid w:val="004A5530"/>
    <w:rsid w:val="004A7C4C"/>
    <w:rsid w:val="004B5173"/>
    <w:rsid w:val="004B7DE4"/>
    <w:rsid w:val="004C3245"/>
    <w:rsid w:val="004C39E2"/>
    <w:rsid w:val="004C6F60"/>
    <w:rsid w:val="004D1467"/>
    <w:rsid w:val="004D416C"/>
    <w:rsid w:val="004D51C0"/>
    <w:rsid w:val="004E2F00"/>
    <w:rsid w:val="004F1562"/>
    <w:rsid w:val="004F15EE"/>
    <w:rsid w:val="004F4090"/>
    <w:rsid w:val="00501747"/>
    <w:rsid w:val="00503922"/>
    <w:rsid w:val="00504271"/>
    <w:rsid w:val="00504850"/>
    <w:rsid w:val="0050576F"/>
    <w:rsid w:val="005108ED"/>
    <w:rsid w:val="00516823"/>
    <w:rsid w:val="0051693F"/>
    <w:rsid w:val="005273CC"/>
    <w:rsid w:val="00533EC6"/>
    <w:rsid w:val="00533FFA"/>
    <w:rsid w:val="005441D9"/>
    <w:rsid w:val="005544ED"/>
    <w:rsid w:val="00556B5C"/>
    <w:rsid w:val="00556B86"/>
    <w:rsid w:val="005618D9"/>
    <w:rsid w:val="00561E62"/>
    <w:rsid w:val="00564465"/>
    <w:rsid w:val="00576E42"/>
    <w:rsid w:val="00582CE4"/>
    <w:rsid w:val="00582E74"/>
    <w:rsid w:val="005B2CB6"/>
    <w:rsid w:val="005B34E8"/>
    <w:rsid w:val="005B5462"/>
    <w:rsid w:val="005C0F19"/>
    <w:rsid w:val="005C1523"/>
    <w:rsid w:val="005C4AF8"/>
    <w:rsid w:val="005C5D4A"/>
    <w:rsid w:val="005C62FE"/>
    <w:rsid w:val="005D1BC3"/>
    <w:rsid w:val="005D4C64"/>
    <w:rsid w:val="005D721D"/>
    <w:rsid w:val="005D7CA0"/>
    <w:rsid w:val="005E44E8"/>
    <w:rsid w:val="005E76BB"/>
    <w:rsid w:val="005F250C"/>
    <w:rsid w:val="005F7F48"/>
    <w:rsid w:val="00601A91"/>
    <w:rsid w:val="00604C01"/>
    <w:rsid w:val="00606F6C"/>
    <w:rsid w:val="00610447"/>
    <w:rsid w:val="006111B6"/>
    <w:rsid w:val="00614A4D"/>
    <w:rsid w:val="00615E7F"/>
    <w:rsid w:val="00621498"/>
    <w:rsid w:val="00622378"/>
    <w:rsid w:val="006308C2"/>
    <w:rsid w:val="00634E8C"/>
    <w:rsid w:val="00641C84"/>
    <w:rsid w:val="006446FC"/>
    <w:rsid w:val="00656D62"/>
    <w:rsid w:val="00684E56"/>
    <w:rsid w:val="006907D7"/>
    <w:rsid w:val="00691AF9"/>
    <w:rsid w:val="00692E17"/>
    <w:rsid w:val="0069762C"/>
    <w:rsid w:val="006A4032"/>
    <w:rsid w:val="006A705D"/>
    <w:rsid w:val="006B6740"/>
    <w:rsid w:val="006C0B83"/>
    <w:rsid w:val="006D2DCD"/>
    <w:rsid w:val="006D7B90"/>
    <w:rsid w:val="006E535B"/>
    <w:rsid w:val="006F057F"/>
    <w:rsid w:val="006F34A3"/>
    <w:rsid w:val="006F3978"/>
    <w:rsid w:val="00702898"/>
    <w:rsid w:val="00705ED4"/>
    <w:rsid w:val="00707781"/>
    <w:rsid w:val="007228EE"/>
    <w:rsid w:val="00724B73"/>
    <w:rsid w:val="00735162"/>
    <w:rsid w:val="00740DED"/>
    <w:rsid w:val="00743767"/>
    <w:rsid w:val="0074504E"/>
    <w:rsid w:val="0075052C"/>
    <w:rsid w:val="00753F78"/>
    <w:rsid w:val="00754B78"/>
    <w:rsid w:val="007626EF"/>
    <w:rsid w:val="0076603A"/>
    <w:rsid w:val="007804F3"/>
    <w:rsid w:val="00791247"/>
    <w:rsid w:val="0079218E"/>
    <w:rsid w:val="0079523E"/>
    <w:rsid w:val="00795A3A"/>
    <w:rsid w:val="007A140F"/>
    <w:rsid w:val="007A150E"/>
    <w:rsid w:val="007A6C80"/>
    <w:rsid w:val="007B0653"/>
    <w:rsid w:val="007C2207"/>
    <w:rsid w:val="007D25E2"/>
    <w:rsid w:val="007E2238"/>
    <w:rsid w:val="007F60D7"/>
    <w:rsid w:val="00801328"/>
    <w:rsid w:val="00805553"/>
    <w:rsid w:val="00811490"/>
    <w:rsid w:val="008204C5"/>
    <w:rsid w:val="0082313F"/>
    <w:rsid w:val="008263F9"/>
    <w:rsid w:val="00827EB5"/>
    <w:rsid w:val="008338EC"/>
    <w:rsid w:val="0084223B"/>
    <w:rsid w:val="00843AF0"/>
    <w:rsid w:val="008542AE"/>
    <w:rsid w:val="00856E63"/>
    <w:rsid w:val="00856F78"/>
    <w:rsid w:val="00864589"/>
    <w:rsid w:val="0086688A"/>
    <w:rsid w:val="00871B88"/>
    <w:rsid w:val="00882E1B"/>
    <w:rsid w:val="00892DB2"/>
    <w:rsid w:val="008A1005"/>
    <w:rsid w:val="008A5B03"/>
    <w:rsid w:val="008C36D6"/>
    <w:rsid w:val="008C5CE0"/>
    <w:rsid w:val="008E28CB"/>
    <w:rsid w:val="008F02D4"/>
    <w:rsid w:val="008F13D6"/>
    <w:rsid w:val="00903F7F"/>
    <w:rsid w:val="00910408"/>
    <w:rsid w:val="00910853"/>
    <w:rsid w:val="00915A42"/>
    <w:rsid w:val="00926DCD"/>
    <w:rsid w:val="00942EF1"/>
    <w:rsid w:val="00950CF0"/>
    <w:rsid w:val="0096019E"/>
    <w:rsid w:val="0096131C"/>
    <w:rsid w:val="00961452"/>
    <w:rsid w:val="009746E1"/>
    <w:rsid w:val="009751E3"/>
    <w:rsid w:val="00977C29"/>
    <w:rsid w:val="009810EA"/>
    <w:rsid w:val="00984A48"/>
    <w:rsid w:val="00994119"/>
    <w:rsid w:val="00995CAA"/>
    <w:rsid w:val="00997F8C"/>
    <w:rsid w:val="009A12F2"/>
    <w:rsid w:val="009C088A"/>
    <w:rsid w:val="009C3870"/>
    <w:rsid w:val="009C3F06"/>
    <w:rsid w:val="009D6ABD"/>
    <w:rsid w:val="009D72E9"/>
    <w:rsid w:val="009E517E"/>
    <w:rsid w:val="009F16DF"/>
    <w:rsid w:val="009F1EAC"/>
    <w:rsid w:val="009F31F5"/>
    <w:rsid w:val="009F379B"/>
    <w:rsid w:val="009F3B36"/>
    <w:rsid w:val="00A04A3D"/>
    <w:rsid w:val="00A07CC9"/>
    <w:rsid w:val="00A11C12"/>
    <w:rsid w:val="00A13DF0"/>
    <w:rsid w:val="00A16C78"/>
    <w:rsid w:val="00A17AB5"/>
    <w:rsid w:val="00A216CD"/>
    <w:rsid w:val="00A23AEB"/>
    <w:rsid w:val="00A25FE7"/>
    <w:rsid w:val="00A27062"/>
    <w:rsid w:val="00A31E12"/>
    <w:rsid w:val="00A33391"/>
    <w:rsid w:val="00A37F8C"/>
    <w:rsid w:val="00A43C7C"/>
    <w:rsid w:val="00A55EA5"/>
    <w:rsid w:val="00A57444"/>
    <w:rsid w:val="00A6480F"/>
    <w:rsid w:val="00A667F8"/>
    <w:rsid w:val="00A67BED"/>
    <w:rsid w:val="00A764DE"/>
    <w:rsid w:val="00A81E08"/>
    <w:rsid w:val="00A847DA"/>
    <w:rsid w:val="00A900A2"/>
    <w:rsid w:val="00A94634"/>
    <w:rsid w:val="00A9571B"/>
    <w:rsid w:val="00AA5C10"/>
    <w:rsid w:val="00AA7708"/>
    <w:rsid w:val="00AB1DE0"/>
    <w:rsid w:val="00AB4853"/>
    <w:rsid w:val="00AC009A"/>
    <w:rsid w:val="00AC23C3"/>
    <w:rsid w:val="00AC2F90"/>
    <w:rsid w:val="00AC384D"/>
    <w:rsid w:val="00AC5BF1"/>
    <w:rsid w:val="00AC6303"/>
    <w:rsid w:val="00AC64C7"/>
    <w:rsid w:val="00AD0DF0"/>
    <w:rsid w:val="00AD5BEA"/>
    <w:rsid w:val="00AE3554"/>
    <w:rsid w:val="00AE5C46"/>
    <w:rsid w:val="00AF3421"/>
    <w:rsid w:val="00AF7619"/>
    <w:rsid w:val="00B0108C"/>
    <w:rsid w:val="00B0124B"/>
    <w:rsid w:val="00B018AC"/>
    <w:rsid w:val="00B067CD"/>
    <w:rsid w:val="00B0683B"/>
    <w:rsid w:val="00B1090C"/>
    <w:rsid w:val="00B143F6"/>
    <w:rsid w:val="00B16639"/>
    <w:rsid w:val="00B17C12"/>
    <w:rsid w:val="00B240EC"/>
    <w:rsid w:val="00B314C3"/>
    <w:rsid w:val="00B33191"/>
    <w:rsid w:val="00B34308"/>
    <w:rsid w:val="00B4576F"/>
    <w:rsid w:val="00B508CC"/>
    <w:rsid w:val="00B5577F"/>
    <w:rsid w:val="00B5721A"/>
    <w:rsid w:val="00B64957"/>
    <w:rsid w:val="00B673E7"/>
    <w:rsid w:val="00B70E5D"/>
    <w:rsid w:val="00B76F01"/>
    <w:rsid w:val="00B825F6"/>
    <w:rsid w:val="00B8636F"/>
    <w:rsid w:val="00B863BC"/>
    <w:rsid w:val="00B86D87"/>
    <w:rsid w:val="00B96A0D"/>
    <w:rsid w:val="00BA0818"/>
    <w:rsid w:val="00BA6A0B"/>
    <w:rsid w:val="00BA70BF"/>
    <w:rsid w:val="00BB768C"/>
    <w:rsid w:val="00BD6FFF"/>
    <w:rsid w:val="00BE29D4"/>
    <w:rsid w:val="00BE2CE1"/>
    <w:rsid w:val="00BE3F68"/>
    <w:rsid w:val="00BE7394"/>
    <w:rsid w:val="00C05D6C"/>
    <w:rsid w:val="00C1095F"/>
    <w:rsid w:val="00C1487D"/>
    <w:rsid w:val="00C1556A"/>
    <w:rsid w:val="00C22103"/>
    <w:rsid w:val="00C23022"/>
    <w:rsid w:val="00C34ECA"/>
    <w:rsid w:val="00C422AD"/>
    <w:rsid w:val="00C44EB6"/>
    <w:rsid w:val="00C51F3D"/>
    <w:rsid w:val="00C71A69"/>
    <w:rsid w:val="00C93B2D"/>
    <w:rsid w:val="00C94025"/>
    <w:rsid w:val="00C966CD"/>
    <w:rsid w:val="00C978EE"/>
    <w:rsid w:val="00CA3B16"/>
    <w:rsid w:val="00CA4AA9"/>
    <w:rsid w:val="00CA6856"/>
    <w:rsid w:val="00CB7A82"/>
    <w:rsid w:val="00CC0F41"/>
    <w:rsid w:val="00CC60A7"/>
    <w:rsid w:val="00CD074B"/>
    <w:rsid w:val="00CD7FAC"/>
    <w:rsid w:val="00CE1923"/>
    <w:rsid w:val="00CE43C7"/>
    <w:rsid w:val="00CF38DA"/>
    <w:rsid w:val="00CF6637"/>
    <w:rsid w:val="00D0054F"/>
    <w:rsid w:val="00D02F3F"/>
    <w:rsid w:val="00D10655"/>
    <w:rsid w:val="00D27EC8"/>
    <w:rsid w:val="00D33247"/>
    <w:rsid w:val="00D54986"/>
    <w:rsid w:val="00D65E05"/>
    <w:rsid w:val="00D671D3"/>
    <w:rsid w:val="00D71D5F"/>
    <w:rsid w:val="00D71ED0"/>
    <w:rsid w:val="00D75389"/>
    <w:rsid w:val="00D7707A"/>
    <w:rsid w:val="00D8712E"/>
    <w:rsid w:val="00D9105B"/>
    <w:rsid w:val="00DA0598"/>
    <w:rsid w:val="00DA5AAA"/>
    <w:rsid w:val="00DB1B68"/>
    <w:rsid w:val="00DC6B11"/>
    <w:rsid w:val="00DC767C"/>
    <w:rsid w:val="00DD0372"/>
    <w:rsid w:val="00DD3426"/>
    <w:rsid w:val="00DE3C10"/>
    <w:rsid w:val="00DE64B1"/>
    <w:rsid w:val="00DE718F"/>
    <w:rsid w:val="00DE73A2"/>
    <w:rsid w:val="00DF658F"/>
    <w:rsid w:val="00DF66F8"/>
    <w:rsid w:val="00DF687B"/>
    <w:rsid w:val="00E00A65"/>
    <w:rsid w:val="00E16A4A"/>
    <w:rsid w:val="00E20109"/>
    <w:rsid w:val="00E2187B"/>
    <w:rsid w:val="00E2437B"/>
    <w:rsid w:val="00E40CE9"/>
    <w:rsid w:val="00E42684"/>
    <w:rsid w:val="00E4270B"/>
    <w:rsid w:val="00E6468A"/>
    <w:rsid w:val="00E77290"/>
    <w:rsid w:val="00E81502"/>
    <w:rsid w:val="00E87EDC"/>
    <w:rsid w:val="00E9525C"/>
    <w:rsid w:val="00EA14F2"/>
    <w:rsid w:val="00EB315D"/>
    <w:rsid w:val="00EC020D"/>
    <w:rsid w:val="00EC1354"/>
    <w:rsid w:val="00EC4C38"/>
    <w:rsid w:val="00EC7B8A"/>
    <w:rsid w:val="00ED0B7C"/>
    <w:rsid w:val="00ED1884"/>
    <w:rsid w:val="00ED2E7A"/>
    <w:rsid w:val="00ED6F80"/>
    <w:rsid w:val="00EE2FD1"/>
    <w:rsid w:val="00EE55C4"/>
    <w:rsid w:val="00EF3093"/>
    <w:rsid w:val="00F0411F"/>
    <w:rsid w:val="00F04969"/>
    <w:rsid w:val="00F13488"/>
    <w:rsid w:val="00F17561"/>
    <w:rsid w:val="00F230D8"/>
    <w:rsid w:val="00F2791F"/>
    <w:rsid w:val="00F31FF6"/>
    <w:rsid w:val="00F327BB"/>
    <w:rsid w:val="00F33069"/>
    <w:rsid w:val="00F368B6"/>
    <w:rsid w:val="00F36FBF"/>
    <w:rsid w:val="00F40151"/>
    <w:rsid w:val="00F52F5E"/>
    <w:rsid w:val="00F54777"/>
    <w:rsid w:val="00F55967"/>
    <w:rsid w:val="00F77CE6"/>
    <w:rsid w:val="00F81492"/>
    <w:rsid w:val="00F8439E"/>
    <w:rsid w:val="00F85F4F"/>
    <w:rsid w:val="00F87BB3"/>
    <w:rsid w:val="00F94DC4"/>
    <w:rsid w:val="00F94EBE"/>
    <w:rsid w:val="00FA0C80"/>
    <w:rsid w:val="00FA2CBC"/>
    <w:rsid w:val="00FA49CC"/>
    <w:rsid w:val="00FA5F90"/>
    <w:rsid w:val="00FB7678"/>
    <w:rsid w:val="00FC1FB6"/>
    <w:rsid w:val="00FD0A38"/>
    <w:rsid w:val="00FD5493"/>
    <w:rsid w:val="00FE0A53"/>
    <w:rsid w:val="00FE4268"/>
    <w:rsid w:val="00FE4AA0"/>
    <w:rsid w:val="00FF2451"/>
    <w:rsid w:val="00FF2537"/>
    <w:rsid w:val="00FF6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95AC3"/>
  <w15:chartTrackingRefBased/>
  <w15:docId w15:val="{20E6904C-36E8-4ADD-AADD-A758E5132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64DE"/>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A764DE"/>
  </w:style>
  <w:style w:type="paragraph" w:styleId="a5">
    <w:name w:val="footer"/>
    <w:basedOn w:val="a"/>
    <w:link w:val="a6"/>
    <w:uiPriority w:val="99"/>
    <w:unhideWhenUsed/>
    <w:rsid w:val="00A764DE"/>
    <w:pPr>
      <w:tabs>
        <w:tab w:val="center" w:pos="4680"/>
        <w:tab w:val="right" w:pos="9360"/>
      </w:tabs>
      <w:spacing w:after="0" w:line="240" w:lineRule="auto"/>
    </w:pPr>
  </w:style>
  <w:style w:type="character" w:customStyle="1" w:styleId="a6">
    <w:name w:val="Нижний колонтитул Знак"/>
    <w:basedOn w:val="a0"/>
    <w:link w:val="a5"/>
    <w:uiPriority w:val="99"/>
    <w:rsid w:val="00A764DE"/>
  </w:style>
  <w:style w:type="paragraph" w:styleId="a7">
    <w:name w:val="List Paragraph"/>
    <w:basedOn w:val="a"/>
    <w:uiPriority w:val="34"/>
    <w:qFormat/>
    <w:rsid w:val="000E380A"/>
    <w:pPr>
      <w:ind w:left="720"/>
      <w:contextualSpacing/>
    </w:pPr>
  </w:style>
  <w:style w:type="character" w:styleId="a8">
    <w:name w:val="annotation reference"/>
    <w:basedOn w:val="a0"/>
    <w:uiPriority w:val="99"/>
    <w:semiHidden/>
    <w:unhideWhenUsed/>
    <w:rsid w:val="00684E56"/>
    <w:rPr>
      <w:sz w:val="16"/>
      <w:szCs w:val="16"/>
    </w:rPr>
  </w:style>
  <w:style w:type="paragraph" w:styleId="a9">
    <w:name w:val="annotation text"/>
    <w:basedOn w:val="a"/>
    <w:link w:val="aa"/>
    <w:uiPriority w:val="99"/>
    <w:semiHidden/>
    <w:unhideWhenUsed/>
    <w:rsid w:val="00684E56"/>
    <w:pPr>
      <w:spacing w:line="240" w:lineRule="auto"/>
    </w:pPr>
    <w:rPr>
      <w:sz w:val="20"/>
      <w:szCs w:val="20"/>
    </w:rPr>
  </w:style>
  <w:style w:type="character" w:customStyle="1" w:styleId="aa">
    <w:name w:val="Текст примечания Знак"/>
    <w:basedOn w:val="a0"/>
    <w:link w:val="a9"/>
    <w:uiPriority w:val="99"/>
    <w:semiHidden/>
    <w:rsid w:val="00684E56"/>
    <w:rPr>
      <w:sz w:val="20"/>
      <w:szCs w:val="20"/>
    </w:rPr>
  </w:style>
  <w:style w:type="paragraph" w:styleId="ab">
    <w:name w:val="annotation subject"/>
    <w:basedOn w:val="a9"/>
    <w:next w:val="a9"/>
    <w:link w:val="ac"/>
    <w:uiPriority w:val="99"/>
    <w:semiHidden/>
    <w:unhideWhenUsed/>
    <w:rsid w:val="00684E56"/>
    <w:rPr>
      <w:b/>
      <w:bCs/>
    </w:rPr>
  </w:style>
  <w:style w:type="character" w:customStyle="1" w:styleId="ac">
    <w:name w:val="Тема примечания Знак"/>
    <w:basedOn w:val="aa"/>
    <w:link w:val="ab"/>
    <w:uiPriority w:val="99"/>
    <w:semiHidden/>
    <w:rsid w:val="00684E56"/>
    <w:rPr>
      <w:b/>
      <w:bCs/>
      <w:sz w:val="20"/>
      <w:szCs w:val="20"/>
    </w:rPr>
  </w:style>
  <w:style w:type="paragraph" w:styleId="ad">
    <w:name w:val="Balloon Text"/>
    <w:basedOn w:val="a"/>
    <w:link w:val="ae"/>
    <w:uiPriority w:val="99"/>
    <w:semiHidden/>
    <w:unhideWhenUsed/>
    <w:rsid w:val="00684E5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84E56"/>
    <w:rPr>
      <w:rFonts w:ascii="Segoe UI" w:hAnsi="Segoe UI" w:cs="Segoe UI"/>
      <w:sz w:val="18"/>
      <w:szCs w:val="18"/>
    </w:rPr>
  </w:style>
  <w:style w:type="paragraph" w:styleId="af">
    <w:name w:val="footnote text"/>
    <w:basedOn w:val="a"/>
    <w:link w:val="af0"/>
    <w:uiPriority w:val="99"/>
    <w:semiHidden/>
    <w:unhideWhenUsed/>
    <w:rsid w:val="00023FA0"/>
    <w:pPr>
      <w:spacing w:after="0" w:line="240" w:lineRule="auto"/>
    </w:pPr>
    <w:rPr>
      <w:sz w:val="20"/>
      <w:szCs w:val="20"/>
    </w:rPr>
  </w:style>
  <w:style w:type="character" w:customStyle="1" w:styleId="af0">
    <w:name w:val="Текст сноски Знак"/>
    <w:basedOn w:val="a0"/>
    <w:link w:val="af"/>
    <w:uiPriority w:val="99"/>
    <w:semiHidden/>
    <w:rsid w:val="00023FA0"/>
    <w:rPr>
      <w:sz w:val="20"/>
      <w:szCs w:val="20"/>
    </w:rPr>
  </w:style>
  <w:style w:type="character" w:styleId="af1">
    <w:name w:val="footnote reference"/>
    <w:basedOn w:val="a0"/>
    <w:uiPriority w:val="99"/>
    <w:semiHidden/>
    <w:unhideWhenUsed/>
    <w:rsid w:val="00023F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B242B-90E7-4E47-BA7F-8D4469A7B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1682</TotalTime>
  <Pages>1</Pages>
  <Words>5466</Words>
  <Characters>3117</Characters>
  <Application>Microsoft Office Word</Application>
  <DocSecurity>0</DocSecurity>
  <Lines>25</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Andy</cp:lastModifiedBy>
  <cp:revision>5</cp:revision>
  <dcterms:created xsi:type="dcterms:W3CDTF">2020-01-27T18:48:00Z</dcterms:created>
  <dcterms:modified xsi:type="dcterms:W3CDTF">2020-01-31T16:31:00Z</dcterms:modified>
  <cp:category/>
  <cp:contentStatus/>
  <dc:language/>
  <cp:version/>
</cp:coreProperties>
</file>